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722B13" w:rsidP="00722B13">
      <w:pPr>
        <w:tabs>
          <w:tab w:val="left" w:pos="1320"/>
          <w:tab w:val="center" w:pos="4513"/>
        </w:tabs>
        <w:spacing w:after="0" w:line="240" w:lineRule="auto"/>
        <w:rPr>
          <w:rFonts w:ascii="Times New Roman" w:hAnsi="Times New Roman"/>
          <w:b/>
          <w:color w:val="44546A" w:themeColor="text2"/>
          <w:sz w:val="24"/>
          <w:szCs w:val="24"/>
        </w:rPr>
      </w:pPr>
      <w:r>
        <w:rPr>
          <w:rFonts w:ascii="Times New Roman" w:hAnsi="Times New Roman"/>
          <w:b/>
          <w:color w:val="44546A" w:themeColor="text2"/>
          <w:sz w:val="24"/>
          <w:szCs w:val="24"/>
        </w:rPr>
        <w:tab/>
      </w:r>
      <w:r>
        <w:rPr>
          <w:rFonts w:ascii="Times New Roman" w:hAnsi="Times New Roman"/>
          <w:b/>
          <w:color w:val="44546A" w:themeColor="text2"/>
          <w:sz w:val="24"/>
          <w:szCs w:val="24"/>
        </w:rPr>
        <w:tab/>
      </w:r>
      <w:r w:rsidR="000702F7" w:rsidRPr="000702F7">
        <w:rPr>
          <w:rFonts w:ascii="Times New Roman" w:hAnsi="Times New Roman"/>
          <w:b/>
          <w:color w:val="44546A" w:themeColor="text2"/>
          <w:sz w:val="24"/>
          <w:szCs w:val="24"/>
        </w:rPr>
        <w:t>RATIO ANALYSIS OF FINANCIAL INFORMATION</w:t>
      </w:r>
    </w:p>
    <w:p w:rsidR="006962A4" w:rsidRDefault="000702F7" w:rsidP="004B243A">
      <w:pPr>
        <w:tabs>
          <w:tab w:val="left" w:pos="1860"/>
          <w:tab w:val="center" w:pos="4513"/>
        </w:tabs>
        <w:spacing w:after="0" w:line="240" w:lineRule="auto"/>
        <w:jc w:val="center"/>
        <w:rPr>
          <w:rFonts w:ascii="Times New Roman" w:hAnsi="Times New Roman"/>
          <w:b/>
          <w:color w:val="000000"/>
        </w:rPr>
      </w:pPr>
      <w:r w:rsidRPr="000702F7">
        <w:rPr>
          <w:rFonts w:ascii="Times New Roman" w:hAnsi="Times New Roman"/>
          <w:b/>
          <w:color w:val="000000"/>
        </w:rPr>
        <w:t>Inderjot Kaur*, Amritpal Singh Randhawa</w:t>
      </w:r>
    </w:p>
    <w:p w:rsidR="000702F7" w:rsidRDefault="006962A4" w:rsidP="000702F7">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0702F7" w:rsidRPr="000702F7">
        <w:rPr>
          <w:rFonts w:ascii="Times New Roman" w:hAnsi="Times New Roman"/>
          <w:color w:val="000000"/>
        </w:rPr>
        <w:t>Assistant Professor, Desh Bhagat Foundation Group of Institutions</w:t>
      </w:r>
    </w:p>
    <w:p w:rsidR="00DB569B" w:rsidRPr="0013458F" w:rsidRDefault="000702F7" w:rsidP="000702F7">
      <w:pPr>
        <w:spacing w:after="0" w:line="240" w:lineRule="auto"/>
        <w:jc w:val="center"/>
        <w:rPr>
          <w:rFonts w:ascii="Times New Roman" w:hAnsi="Times New Roman"/>
          <w:color w:val="000000"/>
        </w:rPr>
      </w:pPr>
      <w:r w:rsidRPr="000702F7">
        <w:rPr>
          <w:rFonts w:ascii="Times New Roman" w:hAnsi="Times New Roman"/>
          <w:color w:val="000000"/>
        </w:rPr>
        <w:t>Assistant Professor, Desh Bhagat Foundation Group of Institutions</w:t>
      </w:r>
      <w:r w:rsidR="00085751" w:rsidRPr="00085751">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0C4877" w:rsidRPr="000C4877">
        <w:rPr>
          <w:rFonts w:ascii="Times New Roman" w:hAnsi="Times New Roman"/>
          <w:color w:val="000000"/>
        </w:rPr>
        <w:t>10.5281/zenodo.199659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0702F7" w:rsidP="00C63E38">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E services are impartment of various products and services through electronic means. The modernized era has earmarked the dire need for all the business sections to innovate their operations at greater pace but no cost. Introduction of online banking was the huge step towards the development of their systems but previously it was accepted al a very less rate due to hindrances such as security issues, and hardware interface unfriendly with the user. In this paper, the extensive use of mobile banking using apps, paperless transactions, more secure and easy to operate scenarios and hence the evolution of E-services are discussed during the past course of time. The statistical interpretation of various percentage implementations of e-services are discussed in this paper.</w:t>
      </w:r>
    </w:p>
    <w:p w:rsidR="006962A4" w:rsidRDefault="006962A4" w:rsidP="006962A4">
      <w:pPr>
        <w:spacing w:after="0" w:line="240" w:lineRule="auto"/>
        <w:jc w:val="both"/>
        <w:rPr>
          <w:rFonts w:ascii="Times New Roman" w:hAnsi="Times New Roman"/>
          <w:sz w:val="20"/>
          <w:szCs w:val="20"/>
        </w:rPr>
      </w:pPr>
    </w:p>
    <w:p w:rsidR="002B1F43" w:rsidRPr="00CF2D8F" w:rsidRDefault="006962A4" w:rsidP="002B1F43">
      <w:pPr>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085751">
        <w:rPr>
          <w:rFonts w:ascii="Times New Roman" w:hAnsi="Times New Roman"/>
          <w:sz w:val="20"/>
          <w:szCs w:val="20"/>
        </w:rPr>
        <w:t xml:space="preserve"> </w:t>
      </w:r>
      <w:r w:rsidR="000702F7" w:rsidRPr="000702F7">
        <w:rPr>
          <w:rFonts w:ascii="Times New Roman" w:hAnsi="Times New Roman"/>
          <w:sz w:val="20"/>
          <w:szCs w:val="20"/>
        </w:rPr>
        <w:t>Electronic Services, Mobile Apps, e-commerce,</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Competition is increasing by leaps and bounds. Hence it has become really tough to take the investment decisions. In our report, Critical examination of financial information of two companies (Canadian Eco-Tours Incorporated and Green Adventures in Canada) has been done.</w:t>
      </w:r>
    </w:p>
    <w:p w:rsidR="000702F7" w:rsidRDefault="000702F7" w:rsidP="000702F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financial data has been broken into simple elements so that they can be understood to take critical decisions of investment that can be much profitable. Investment decisions calculate the risk and rewards from various possible alternatives. It is well known fact that most risky alternative delivers higher profit and vice-versa.</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aim of this case study is to interpret the financial statements of both companies. Critical analysis has been done on basis of calculation of important ratios and preparation of comparative statement so that sound decisions could be taken. Financial decision of investing $20,000/- will be purely based on the results of</w:t>
      </w:r>
    </w:p>
    <w:p w:rsidR="000702F7" w:rsidRPr="000702F7" w:rsidRDefault="000702F7" w:rsidP="00D9667E">
      <w:pPr>
        <w:pStyle w:val="ListParagraph"/>
        <w:numPr>
          <w:ilvl w:val="0"/>
          <w:numId w:val="22"/>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Liquidity Analysis</w:t>
      </w:r>
    </w:p>
    <w:p w:rsidR="000702F7" w:rsidRPr="000702F7" w:rsidRDefault="000702F7" w:rsidP="00D9667E">
      <w:pPr>
        <w:pStyle w:val="ListParagraph"/>
        <w:numPr>
          <w:ilvl w:val="0"/>
          <w:numId w:val="22"/>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Solvency Analysis</w:t>
      </w:r>
    </w:p>
    <w:p w:rsidR="000702F7" w:rsidRPr="000702F7" w:rsidRDefault="000702F7" w:rsidP="00D9667E">
      <w:pPr>
        <w:pStyle w:val="ListParagraph"/>
        <w:numPr>
          <w:ilvl w:val="0"/>
          <w:numId w:val="22"/>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Performance Evaluation</w:t>
      </w:r>
    </w:p>
    <w:p w:rsidR="000702F7" w:rsidRPr="000702F7" w:rsidRDefault="000702F7" w:rsidP="00D9667E">
      <w:pPr>
        <w:pStyle w:val="ListParagraph"/>
        <w:numPr>
          <w:ilvl w:val="0"/>
          <w:numId w:val="22"/>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Profitability</w:t>
      </w:r>
    </w:p>
    <w:p w:rsidR="000702F7" w:rsidRPr="000702F7" w:rsidRDefault="000702F7" w:rsidP="00D9667E">
      <w:pPr>
        <w:pStyle w:val="ListParagraph"/>
        <w:numPr>
          <w:ilvl w:val="0"/>
          <w:numId w:val="22"/>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Operating Efficiency of Business</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To take the best possible decision, we must clearly know the liquidity and solvency position of the business. For this purpose, the relevant ratios are calculated in the study. Operational performance and profitability of the concerns also hold very much importance while investing huge amount in business. Hence the analysis was must to be done which was possible through operating and profitability ratios.</w:t>
      </w:r>
    </w:p>
    <w:p w:rsidR="000702F7" w:rsidRPr="000702F7" w:rsidRDefault="000702F7" w:rsidP="000702F7">
      <w:pPr>
        <w:spacing w:after="0" w:line="240" w:lineRule="auto"/>
        <w:ind w:firstLine="36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b/>
        </w:rPr>
      </w:pPr>
      <w:r w:rsidRPr="000702F7">
        <w:rPr>
          <w:rFonts w:ascii="Times New Roman" w:hAnsi="Times New Roman" w:cs="Times New Roman"/>
          <w:b/>
          <w:color w:val="44546A" w:themeColor="text2"/>
        </w:rPr>
        <w:t>RATIO ANALYSIS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From the available financial data, the possible and useful ratios have been calculated year wise. The purpose of ratios has also been mentioned along with.</w:t>
      </w:r>
    </w:p>
    <w:p w:rsidR="000702F7" w:rsidRDefault="000702F7" w:rsidP="000702F7">
      <w:pPr>
        <w:spacing w:after="0" w:line="240" w:lineRule="auto"/>
        <w:jc w:val="both"/>
        <w:rPr>
          <w:rFonts w:ascii="Times New Roman" w:hAnsi="Times New Roman" w:cs="Times New Roman"/>
          <w:b/>
          <w:sz w:val="20"/>
          <w:szCs w:val="20"/>
        </w:rPr>
      </w:pPr>
    </w:p>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Canadian Eco-Tours Incorporated (CETI)</w:t>
      </w:r>
    </w:p>
    <w:p w:rsidR="000702F7" w:rsidRPr="000702F7" w:rsidRDefault="000702F7" w:rsidP="00D9667E">
      <w:pPr>
        <w:pStyle w:val="ListParagraph"/>
        <w:numPr>
          <w:ilvl w:val="0"/>
          <w:numId w:val="23"/>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Current Ratio:- It is the relationship between current analysis assets and current liabilities of the business. It is computed to access short term financial position of the company, so that short term obligations can be met.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6"/>
        <w:gridCol w:w="2535"/>
      </w:tblGrid>
      <w:tr w:rsidR="000702F7" w:rsidRPr="000702F7" w:rsidTr="000702F7">
        <w:trPr>
          <w:trHeight w:val="417"/>
          <w:jc w:val="center"/>
        </w:trPr>
        <w:tc>
          <w:tcPr>
            <w:tcW w:w="2536" w:type="dxa"/>
            <w:vAlign w:val="center"/>
          </w:tcPr>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lastRenderedPageBreak/>
              <w:t>Year 2015</w:t>
            </w:r>
          </w:p>
        </w:tc>
        <w:tc>
          <w:tcPr>
            <w:tcW w:w="2535" w:type="dxa"/>
            <w:vAlign w:val="center"/>
          </w:tcPr>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Year 2016</w:t>
            </w:r>
          </w:p>
        </w:tc>
      </w:tr>
      <w:tr w:rsidR="000702F7" w:rsidRPr="000702F7" w:rsidTr="000702F7">
        <w:trPr>
          <w:trHeight w:val="417"/>
          <w:jc w:val="center"/>
        </w:trPr>
        <w:tc>
          <w:tcPr>
            <w:tcW w:w="2536" w:type="dxa"/>
            <w:vAlign w:val="center"/>
          </w:tcPr>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b/>
                <w:sz w:val="20"/>
                <w:szCs w:val="20"/>
              </w:rPr>
              <w:t>1.14 : 1</w:t>
            </w:r>
          </w:p>
        </w:tc>
        <w:tc>
          <w:tcPr>
            <w:tcW w:w="2535" w:type="dxa"/>
            <w:vAlign w:val="center"/>
          </w:tcPr>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fldChar w:fldCharType="begin"/>
            </w:r>
            <w:r w:rsidRPr="000702F7">
              <w:rPr>
                <w:rFonts w:ascii="Times New Roman" w:hAnsi="Times New Roman" w:cs="Times New Roman"/>
                <w:sz w:val="20"/>
                <w:szCs w:val="20"/>
              </w:rPr>
              <w:instrText xml:space="preserve"> QUOTE </w:instrText>
            </w:r>
            <m:oMath>
              <m:f>
                <m:fPr>
                  <m:ctrlPr>
                    <w:rPr>
                      <w:rFonts w:ascii="Cambria Math" w:hAnsi="Cambria Math" w:cs="Times New Roman"/>
                      <w:b/>
                      <w:i/>
                      <w:sz w:val="20"/>
                      <w:szCs w:val="20"/>
                    </w:rPr>
                  </m:ctrlPr>
                </m:fPr>
                <m:num>
                  <m:r>
                    <m:rPr>
                      <m:sty m:val="p"/>
                    </m:rPr>
                    <w:rPr>
                      <w:rFonts w:ascii="Cambria Math" w:hAnsi="Cambria Math" w:cs="Times New Roman"/>
                      <w:sz w:val="20"/>
                      <w:szCs w:val="20"/>
                    </w:rPr>
                    <m:t>209,100</m:t>
                  </m:r>
                </m:num>
                <m:den>
                  <m:r>
                    <m:rPr>
                      <m:sty m:val="p"/>
                    </m:rPr>
                    <w:rPr>
                      <w:rFonts w:ascii="Cambria Math" w:hAnsi="Cambria Math" w:cs="Times New Roman"/>
                      <w:sz w:val="20"/>
                      <w:szCs w:val="20"/>
                    </w:rPr>
                    <m:t>199,600</m:t>
                  </m:r>
                </m:den>
              </m:f>
              <m:r>
                <m:rPr>
                  <m:sty m:val="p"/>
                </m:rPr>
                <w:rPr>
                  <w:rFonts w:ascii="Cambria Math" w:hAnsi="Cambria Math" w:cs="Times New Roman"/>
                  <w:sz w:val="20"/>
                  <w:szCs w:val="20"/>
                </w:rPr>
                <m:t xml:space="preserve">      </m:t>
              </m:r>
            </m:oMath>
            <w:r w:rsidRPr="000702F7">
              <w:rPr>
                <w:rFonts w:ascii="Times New Roman" w:hAnsi="Times New Roman" w:cs="Times New Roman"/>
                <w:sz w:val="20"/>
                <w:szCs w:val="20"/>
              </w:rPr>
              <w:instrText xml:space="preserve"> </w:instrText>
            </w:r>
            <w:r w:rsidRPr="000702F7">
              <w:rPr>
                <w:rFonts w:ascii="Times New Roman" w:hAnsi="Times New Roman" w:cs="Times New Roman"/>
                <w:sz w:val="20"/>
                <w:szCs w:val="20"/>
              </w:rPr>
              <w:fldChar w:fldCharType="end"/>
            </w:r>
            <w:r w:rsidRPr="000702F7">
              <w:rPr>
                <w:rFonts w:ascii="Times New Roman" w:hAnsi="Times New Roman" w:cs="Times New Roman"/>
                <w:b/>
                <w:sz w:val="20"/>
                <w:szCs w:val="20"/>
              </w:rPr>
              <w:t>1.04 : 1</w:t>
            </w:r>
          </w:p>
        </w:tc>
      </w:tr>
    </w:tbl>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objective of this ratio is to assess the ability of an enterprise to meet its short term liabilities promptly. Low ratio indicates that the company is not able to meet its current liabilities whereas high ratio indicates inefficient use of funds or funds lying idle. Although there is no hard and fast rule but still Current ratio of 2:1 is consider satisfactory</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current ratio of this company has declined to 1.04 in 2016 from 1.14 in 2015 which is not a good sign. It clearly shows that the short term financial position is not so sound.</w:t>
      </w:r>
    </w:p>
    <w:p w:rsidR="000702F7" w:rsidRPr="000702F7" w:rsidRDefault="000702F7" w:rsidP="00D9667E">
      <w:pPr>
        <w:pStyle w:val="ListParagraph"/>
        <w:numPr>
          <w:ilvl w:val="0"/>
          <w:numId w:val="23"/>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Quick Ratio:- Liquid assets put against the current liabilities shows the liquid ratio or Quick ratio.</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Quick Ratio = Liquid / Quick Assets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Current Liabilities</w:t>
      </w:r>
    </w:p>
    <w:p w:rsidR="000702F7" w:rsidRP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Liquid Assets  = Current Assets – Stock – Prepaid Expenses</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ab/>
        <w:t>= 242,500 – 51,400  =  166,100</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 xml:space="preserve">So Quick Ratio = </w:t>
      </w:r>
      <w:r w:rsidRPr="000702F7">
        <w:rPr>
          <w:rFonts w:ascii="Times New Roman" w:hAnsi="Times New Roman" w:cs="Times New Roman"/>
          <w:b/>
          <w:sz w:val="20"/>
          <w:szCs w:val="20"/>
        </w:rPr>
        <w:t xml:space="preserve">166,100   =   0.83 : 1    </w:t>
      </w:r>
    </w:p>
    <w:p w:rsidR="000702F7" w:rsidRPr="000702F7" w:rsidRDefault="000702F7" w:rsidP="000702F7">
      <w:pPr>
        <w:spacing w:after="0" w:line="240" w:lineRule="auto"/>
        <w:ind w:left="1440" w:firstLine="720"/>
        <w:jc w:val="both"/>
        <w:rPr>
          <w:rFonts w:ascii="Times New Roman" w:hAnsi="Times New Roman" w:cs="Times New Roman"/>
          <w:sz w:val="20"/>
          <w:szCs w:val="20"/>
        </w:rPr>
      </w:pPr>
      <w:r w:rsidRPr="000702F7">
        <w:rPr>
          <w:rFonts w:ascii="Times New Roman" w:hAnsi="Times New Roman" w:cs="Times New Roman"/>
          <w:b/>
          <w:sz w:val="20"/>
          <w:szCs w:val="20"/>
        </w:rPr>
        <w:t xml:space="preserve">          199,600</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Quick Ratio is considered to be a better measure of shoprt term financial position as compared to current ratio. This ratio eliminates the non-liquid part of current assets and hence it will help the investor to take the decisions precisely. Ideally value of QR is 1 : 1. Higher value of ratio indicates under-stocking and Low ratio value indicates Over-stocking. </w:t>
      </w:r>
    </w:p>
    <w:p w:rsidR="000702F7" w:rsidRPr="000702F7" w:rsidRDefault="000702F7" w:rsidP="000702F7">
      <w:pPr>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From the liquidity point of view, the position of CETI in 2016 is satisfactory.</w:t>
      </w:r>
    </w:p>
    <w:p w:rsidR="000702F7" w:rsidRDefault="000702F7" w:rsidP="000702F7">
      <w:pPr>
        <w:spacing w:after="0" w:line="240" w:lineRule="auto"/>
        <w:ind w:left="720" w:hanging="720"/>
        <w:jc w:val="both"/>
        <w:rPr>
          <w:rFonts w:ascii="Times New Roman" w:hAnsi="Times New Roman" w:cs="Times New Roman"/>
          <w:sz w:val="20"/>
          <w:szCs w:val="20"/>
        </w:rPr>
      </w:pPr>
    </w:p>
    <w:p w:rsidR="000702F7" w:rsidRPr="000702F7" w:rsidRDefault="000702F7" w:rsidP="000702F7">
      <w:pPr>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Solvency Ratios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Debt Equity Ratio:- This ratio judges the long-term financial position of the firm. It indicates the relation between Internal Equities and External Equities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br/>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29,000 + 228,600    =   0.68 : 1</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b/>
          <w:sz w:val="20"/>
          <w:szCs w:val="20"/>
        </w:rPr>
        <w:t>125,000 + 249,000</w:t>
      </w:r>
      <w:r w:rsidRPr="000702F7">
        <w:rPr>
          <w:rFonts w:ascii="Times New Roman" w:hAnsi="Times New Roman" w:cs="Times New Roman"/>
          <w:sz w:val="20"/>
          <w:szCs w:val="20"/>
        </w:rPr>
        <w:tab/>
      </w:r>
      <w:r w:rsidRPr="000702F7">
        <w:rPr>
          <w:rFonts w:ascii="Times New Roman" w:hAnsi="Times New Roman" w:cs="Times New Roman"/>
          <w:sz w:val="20"/>
          <w:szCs w:val="20"/>
        </w:rPr>
        <w:tab/>
      </w:r>
    </w:p>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Ratio indicates the amount of capital supplied to the business by the investors and cushion available on liquidation. It also indicates the extent to which the firm depends upon outsiders for its existence.</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Generally, Lower this ratio, the better it is. As per a generalized rule of 2 : 1, debt should be twice the equity, but in this case it is just above  and hence it is quiet a risky scenario. </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Total Assets to Debt Ratio:- The two components of this ratio are total assets and long term debt. It measures the extent to which the debt is covered by assets.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Long Term Debt  =  Long term loan + long term notes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 xml:space="preserve">     =  228,600  +  29,000  =  257,600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(Here due to non availability of information 374,500 is assumed as long term loan</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Assets to debt ratio  =  </w:t>
      </w:r>
      <w:r w:rsidRPr="000702F7">
        <w:rPr>
          <w:rFonts w:ascii="Times New Roman" w:hAnsi="Times New Roman" w:cs="Times New Roman"/>
          <w:b/>
          <w:sz w:val="20"/>
          <w:szCs w:val="20"/>
        </w:rPr>
        <w:t>603,100   =  2.34 : 1</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257,600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Higher ratio represents higher security to the leaders of long term loan. The acceptable value to ratio is 2 : 1. In this case it is satisfactory. </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Turnover Ratios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Fixed assets Turnover Ratio:- It establishes relation between fixed assets and net sales indicating how efficiently they are used in achieving sales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w:t>
      </w:r>
      <w:r w:rsidRPr="000702F7">
        <w:rPr>
          <w:rFonts w:ascii="Times New Roman" w:hAnsi="Times New Roman" w:cs="Times New Roman"/>
          <w:b/>
          <w:sz w:val="20"/>
          <w:szCs w:val="20"/>
        </w:rPr>
        <w:t>1,180,000   =   2.99 : 1</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b/>
          <w:sz w:val="20"/>
          <w:szCs w:val="20"/>
        </w:rPr>
        <w:t xml:space="preserve">        (2016)</w:t>
      </w:r>
      <w:r w:rsidRPr="000702F7">
        <w:rPr>
          <w:rFonts w:ascii="Times New Roman" w:hAnsi="Times New Roman" w:cs="Times New Roman"/>
          <w:b/>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 xml:space="preserve">Fixed assets for 2015 = Total assets  -  Current assets </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 xml:space="preserve"> =  520,700  -  189,300 – 12,000</w:t>
      </w:r>
    </w:p>
    <w:p w:rsidR="000702F7" w:rsidRPr="000702F7" w:rsidRDefault="000702F7" w:rsidP="000702F7">
      <w:pPr>
        <w:spacing w:after="0" w:line="240" w:lineRule="auto"/>
        <w:ind w:left="1440"/>
        <w:jc w:val="both"/>
        <w:rPr>
          <w:rFonts w:ascii="Times New Roman" w:hAnsi="Times New Roman" w:cs="Times New Roman"/>
          <w:sz w:val="20"/>
          <w:szCs w:val="20"/>
        </w:rPr>
      </w:pPr>
      <w:r w:rsidRPr="000702F7">
        <w:rPr>
          <w:rFonts w:ascii="Times New Roman" w:hAnsi="Times New Roman" w:cs="Times New Roman"/>
          <w:sz w:val="20"/>
          <w:szCs w:val="20"/>
        </w:rPr>
        <w:t>= 319,400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Hereby , Fixed asset turnover ratio   =         </w:t>
      </w:r>
      <w:r w:rsidRPr="000702F7">
        <w:rPr>
          <w:rFonts w:ascii="Times New Roman" w:hAnsi="Times New Roman" w:cs="Times New Roman"/>
          <w:b/>
          <w:sz w:val="20"/>
          <w:szCs w:val="20"/>
        </w:rPr>
        <w:t>1240,000      =     3.88 : 1</w:t>
      </w:r>
      <w:r w:rsidRPr="000702F7">
        <w:rPr>
          <w:rFonts w:ascii="Times New Roman" w:hAnsi="Times New Roman" w:cs="Times New Roman"/>
          <w:sz w:val="20"/>
          <w:szCs w:val="20"/>
        </w:rPr>
        <w:t xml:space="preserve">   </w:t>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b/>
          <w:sz w:val="20"/>
          <w:szCs w:val="20"/>
        </w:rPr>
        <w:t xml:space="preserve">           319,400</w:t>
      </w:r>
      <w:r w:rsidRPr="000702F7">
        <w:rPr>
          <w:rFonts w:ascii="Times New Roman" w:hAnsi="Times New Roman" w:cs="Times New Roman"/>
          <w:sz w:val="20"/>
          <w:szCs w:val="20"/>
        </w:rPr>
        <w:tab/>
      </w:r>
    </w:p>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Higher ratio is better indicator of working of business as it refers to efficient utilization of fixed assets. If it is very low, it means idle capacity.</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In 2016, the ratio is almost 3 times so the investment in fixed assets is judicious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In 2015 the ratio is higher as compared to 2016. This means the position is declining.</w:t>
      </w:r>
    </w:p>
    <w:p w:rsidR="000702F7" w:rsidRP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Profitability Ratios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Gross Profit Ratio :- Adequate GP is required to cover the operating expenses, fixed charges, dividends and reserves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GP Ratio = Gross Profit  ×  100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 xml:space="preserve">         Net Sales</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Gross Profit (2016)  =  Net Sales – COGS  =  1,180,000 – 649,000  =   531,000</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Gross Profit (2015)  =  Net Sales – COGS  =  1,240,000 – 694,700  =   545,600</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 xml:space="preserve">GP Ratio (2016)  </w:t>
      </w:r>
      <w:r w:rsidRPr="000702F7">
        <w:rPr>
          <w:rFonts w:ascii="Times New Roman" w:hAnsi="Times New Roman" w:cs="Times New Roman"/>
          <w:b/>
          <w:sz w:val="20"/>
          <w:szCs w:val="20"/>
        </w:rPr>
        <w:t>531,000  ×  100  =  45%</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1,180,000</w:t>
      </w:r>
    </w:p>
    <w:p w:rsidR="000702F7" w:rsidRPr="000702F7" w:rsidRDefault="000702F7" w:rsidP="000702F7">
      <w:pPr>
        <w:spacing w:after="0" w:line="240" w:lineRule="auto"/>
        <w:ind w:firstLine="720"/>
        <w:jc w:val="both"/>
        <w:rPr>
          <w:rFonts w:ascii="Times New Roman" w:hAnsi="Times New Roman" w:cs="Times New Roman"/>
          <w:b/>
          <w:sz w:val="20"/>
          <w:szCs w:val="20"/>
        </w:rPr>
      </w:pP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 xml:space="preserve">GP Ratio (2015)  </w:t>
      </w:r>
      <w:r w:rsidRPr="000702F7">
        <w:rPr>
          <w:rFonts w:ascii="Times New Roman" w:hAnsi="Times New Roman" w:cs="Times New Roman"/>
          <w:b/>
          <w:sz w:val="20"/>
          <w:szCs w:val="20"/>
        </w:rPr>
        <w:t>545,600  ×  100  =  44%</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1,240,000</w:t>
      </w:r>
    </w:p>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This ratio shows the average margins on goods sold. It should be adequate so that fixed charges can be covered.</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Comments </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GP Ratio shows the increase of 1% as per available data which is a good.</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Operating Ratio:- It is Calculated by using cost of goods sold and operating expenses. It uses the cost that matches with sales.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Calculations</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OR2015 = </w:t>
      </w:r>
      <w:r w:rsidRPr="000702F7">
        <w:rPr>
          <w:rFonts w:ascii="Times New Roman" w:hAnsi="Times New Roman" w:cs="Times New Roman"/>
          <w:b/>
          <w:sz w:val="20"/>
          <w:szCs w:val="20"/>
        </w:rPr>
        <w:t>694,400+260,400×100  =  77%</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1,240,000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OR2016 = </w:t>
      </w:r>
      <w:r w:rsidRPr="000702F7">
        <w:rPr>
          <w:rFonts w:ascii="Times New Roman" w:hAnsi="Times New Roman" w:cs="Times New Roman"/>
          <w:b/>
          <w:sz w:val="20"/>
          <w:szCs w:val="20"/>
        </w:rPr>
        <w:t>694,400+259,600×100  =  77%</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1,180,000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It is test of operating efficiency of the business. It is important to calculate because it reveals the profit margin available to investor</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operating position of this company is satisfactory.</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Net Profit Ratio:- It is indicator of the overall position of the efficiency of business. Profit before tax and profit after tax, any of them can be taken.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Calculation </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Net Profit Ratio  =  Net Profit  ×  100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Net Sales</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NPR (2015) = </w:t>
      </w:r>
      <w:r w:rsidRPr="000702F7">
        <w:rPr>
          <w:rFonts w:ascii="Times New Roman" w:hAnsi="Times New Roman" w:cs="Times New Roman"/>
          <w:b/>
          <w:sz w:val="20"/>
          <w:szCs w:val="20"/>
        </w:rPr>
        <w:t>210,150 × 100 = 16.94%</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1,240,000</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NPR (2016) = </w:t>
      </w:r>
      <w:r w:rsidRPr="000702F7">
        <w:rPr>
          <w:rFonts w:ascii="Times New Roman" w:hAnsi="Times New Roman" w:cs="Times New Roman"/>
          <w:b/>
          <w:sz w:val="20"/>
          <w:szCs w:val="20"/>
        </w:rPr>
        <w:t>200,925 × 100 = 17.02%</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1,180,000</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Objective</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It helps in determining the operational efficiency of business</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Comment</w:t>
      </w:r>
    </w:p>
    <w:p w:rsidR="000702F7" w:rsidRPr="000702F7" w:rsidRDefault="000702F7" w:rsidP="000702F7">
      <w:pPr>
        <w:tabs>
          <w:tab w:val="left" w:pos="689"/>
          <w:tab w:val="left" w:pos="751"/>
          <w:tab w:val="left" w:pos="902"/>
        </w:tabs>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As it can be seen, the ratio of 2016 has increased as compared to 2015 which is good for business.</w:t>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Earnings Per share :- It measures the earning of equity shareholders after meeting all the obligations. Net profit after tax and preference dividend is used.</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EPS(2016)  =  </w:t>
      </w:r>
      <w:r w:rsidRPr="000702F7">
        <w:rPr>
          <w:rFonts w:ascii="Times New Roman" w:hAnsi="Times New Roman" w:cs="Times New Roman"/>
          <w:b/>
          <w:sz w:val="20"/>
          <w:szCs w:val="20"/>
        </w:rPr>
        <w:t>200,925   =   $2 per share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100,000</w:t>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It helps in evaluating the prevailing market price of shares in light of profit earning capacity. More the earnings better will be the performance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The EPS is very minimum which can be improved by increasing the performance of the business.</w:t>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Dividend per share:- It represents dividend distributed per equity share </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DPS(2016) = </w:t>
      </w:r>
      <w:r w:rsidRPr="000702F7">
        <w:rPr>
          <w:rFonts w:ascii="Times New Roman" w:hAnsi="Times New Roman" w:cs="Times New Roman"/>
          <w:b/>
          <w:sz w:val="20"/>
          <w:szCs w:val="20"/>
        </w:rPr>
        <w:t>50,000 = $0.5 per share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w:t>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100,000</w:t>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objective of this ratio is to measure the dividend distributed among share holders. Higher the DPS, Better it is for the image of the company. Higher DPS will result in higher investment in future.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The DPS of this company is shockingly very low. This means they retain their earnings on higher rate.</w:t>
      </w:r>
    </w:p>
    <w:p w:rsid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Price Earning Ratio:- It establishes the relation between market price of share and earning per share. It indicates how many times is the market price to its earning.</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Calculation</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PER=Market Price per share = </w:t>
      </w:r>
      <w:r w:rsidRPr="000702F7">
        <w:rPr>
          <w:rFonts w:ascii="Times New Roman" w:hAnsi="Times New Roman" w:cs="Times New Roman"/>
          <w:b/>
          <w:sz w:val="20"/>
          <w:szCs w:val="20"/>
        </w:rPr>
        <w:t>12 =   6:1</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            Earning per share           </w:t>
      </w:r>
      <w:r w:rsidRPr="000702F7">
        <w:rPr>
          <w:rFonts w:ascii="Times New Roman" w:hAnsi="Times New Roman" w:cs="Times New Roman"/>
          <w:b/>
          <w:sz w:val="20"/>
          <w:szCs w:val="20"/>
        </w:rPr>
        <w:t>2</w:t>
      </w:r>
    </w:p>
    <w:p w:rsidR="000702F7" w:rsidRDefault="000702F7" w:rsidP="000702F7">
      <w:pPr>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Objective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This ratio will help us to judge the market price of share. It indicates how much the public is ready to pay for future earning prospects of company. It is also used for knowing the position of over or under valuation of shares.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Comments</w:t>
      </w:r>
    </w:p>
    <w:p w:rsidR="000702F7" w:rsidRPr="000702F7" w:rsidRDefault="000702F7" w:rsidP="000702F7">
      <w:pPr>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Generally higher ratio is preferred because it ensures the faith of investors in the stability in the earnings of company. </w:t>
      </w:r>
    </w:p>
    <w:p w:rsidR="000702F7" w:rsidRPr="000702F7" w:rsidRDefault="000702F7" w:rsidP="000702F7">
      <w:pPr>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 xml:space="preserve"> </w:t>
      </w:r>
    </w:p>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Green Adventures in Canada Limited (GAIN)</w:t>
      </w:r>
    </w:p>
    <w:p w:rsidR="000702F7" w:rsidRPr="000702F7" w:rsidRDefault="000702F7" w:rsidP="00D9667E">
      <w:pPr>
        <w:pStyle w:val="ListParagraph"/>
        <w:numPr>
          <w:ilvl w:val="0"/>
          <w:numId w:val="25"/>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Current Ratio:- Calculations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Current Ratio = Current    Assets    =   Current receivables + Current Assets</w:t>
      </w:r>
    </w:p>
    <w:p w:rsidR="000702F7" w:rsidRPr="000702F7" w:rsidRDefault="000702F7" w:rsidP="000702F7">
      <w:pPr>
        <w:spacing w:after="0" w:line="240" w:lineRule="auto"/>
        <w:ind w:firstLine="720"/>
        <w:contextualSpacing/>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Current Liabilities</w:t>
      </w: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Current      Liabilities</w:t>
      </w:r>
    </w:p>
    <w:p w:rsidR="000702F7" w:rsidRPr="000702F7" w:rsidRDefault="000702F7" w:rsidP="000702F7">
      <w:pPr>
        <w:spacing w:after="0" w:line="240" w:lineRule="auto"/>
        <w:jc w:val="both"/>
        <w:rPr>
          <w:rFonts w:ascii="Times New Roman" w:hAnsi="Times New Roman" w:cs="Times New Roma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8"/>
        <w:gridCol w:w="1760"/>
      </w:tblGrid>
      <w:tr w:rsidR="000702F7" w:rsidRPr="000702F7" w:rsidTr="000702F7">
        <w:trPr>
          <w:trHeight w:val="380"/>
          <w:jc w:val="center"/>
        </w:trPr>
        <w:tc>
          <w:tcPr>
            <w:tcW w:w="1948" w:type="dxa"/>
            <w:vAlign w:val="center"/>
          </w:tcPr>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Year 2015</w:t>
            </w:r>
          </w:p>
        </w:tc>
        <w:tc>
          <w:tcPr>
            <w:tcW w:w="1760" w:type="dxa"/>
            <w:vAlign w:val="center"/>
          </w:tcPr>
          <w:p w:rsidR="000702F7" w:rsidRPr="000702F7" w:rsidRDefault="000702F7" w:rsidP="000702F7">
            <w:pPr>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Year 2016</w:t>
            </w:r>
          </w:p>
        </w:tc>
      </w:tr>
      <w:tr w:rsidR="000702F7" w:rsidRPr="000702F7" w:rsidTr="000702F7">
        <w:trPr>
          <w:trHeight w:val="380"/>
          <w:jc w:val="center"/>
        </w:trPr>
        <w:tc>
          <w:tcPr>
            <w:tcW w:w="1948" w:type="dxa"/>
            <w:vAlign w:val="center"/>
          </w:tcPr>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b/>
                <w:sz w:val="20"/>
                <w:szCs w:val="20"/>
              </w:rPr>
              <w:fldChar w:fldCharType="begin"/>
            </w:r>
            <w:r w:rsidRPr="000702F7">
              <w:rPr>
                <w:rFonts w:ascii="Times New Roman" w:hAnsi="Times New Roman" w:cs="Times New Roman"/>
                <w:b/>
                <w:sz w:val="20"/>
                <w:szCs w:val="20"/>
              </w:rPr>
              <w:instrText xml:space="preserve"> QUOTE </w:instrText>
            </w:r>
            <m:oMath>
              <m:f>
                <m:fPr>
                  <m:ctrlPr>
                    <w:rPr>
                      <w:rFonts w:ascii="Cambria Math" w:hAnsi="Cambria Math" w:cs="Times New Roman"/>
                      <w:b/>
                      <w:sz w:val="20"/>
                      <w:szCs w:val="20"/>
                    </w:rPr>
                  </m:ctrlPr>
                </m:fPr>
                <m:num>
                  <m:r>
                    <m:rPr>
                      <m:sty m:val="p"/>
                    </m:rPr>
                    <w:rPr>
                      <w:rFonts w:ascii="Cambria Math" w:hAnsi="Cambria Math" w:cs="Times New Roman"/>
                      <w:sz w:val="20"/>
                      <w:szCs w:val="20"/>
                    </w:rPr>
                    <m:t>212,900 +18,100</m:t>
                  </m:r>
                </m:num>
                <m:den>
                  <m:r>
                    <m:rPr>
                      <m:sty m:val="p"/>
                    </m:rPr>
                    <w:rPr>
                      <w:rFonts w:ascii="Cambria Math" w:hAnsi="Cambria Math" w:cs="Times New Roman"/>
                      <w:sz w:val="20"/>
                      <w:szCs w:val="20"/>
                    </w:rPr>
                    <m:t>163,300</m:t>
                  </m:r>
                </m:den>
              </m:f>
            </m:oMath>
            <w:r w:rsidRPr="000702F7">
              <w:rPr>
                <w:rFonts w:ascii="Times New Roman" w:hAnsi="Times New Roman" w:cs="Times New Roman"/>
                <w:b/>
                <w:sz w:val="20"/>
                <w:szCs w:val="20"/>
              </w:rPr>
              <w:instrText xml:space="preserve"> </w:instrText>
            </w:r>
            <w:r w:rsidRPr="000702F7">
              <w:rPr>
                <w:rFonts w:ascii="Times New Roman" w:hAnsi="Times New Roman" w:cs="Times New Roman"/>
                <w:b/>
                <w:sz w:val="20"/>
                <w:szCs w:val="20"/>
              </w:rPr>
              <w:fldChar w:fldCharType="end"/>
            </w:r>
            <w:r w:rsidRPr="000702F7">
              <w:rPr>
                <w:rFonts w:ascii="Times New Roman" w:hAnsi="Times New Roman" w:cs="Times New Roman"/>
                <w:b/>
                <w:sz w:val="20"/>
                <w:szCs w:val="20"/>
              </w:rPr>
              <w:t>1.41 : 1</w:t>
            </w:r>
          </w:p>
        </w:tc>
        <w:tc>
          <w:tcPr>
            <w:tcW w:w="1760" w:type="dxa"/>
            <w:vAlign w:val="center"/>
          </w:tcPr>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fldChar w:fldCharType="begin"/>
            </w:r>
            <w:r w:rsidRPr="000702F7">
              <w:rPr>
                <w:rFonts w:ascii="Times New Roman" w:hAnsi="Times New Roman" w:cs="Times New Roman"/>
                <w:sz w:val="20"/>
                <w:szCs w:val="20"/>
              </w:rPr>
              <w:instrText xml:space="preserve"> QUOTE </w:instrText>
            </w:r>
            <m:oMath>
              <m:f>
                <m:fPr>
                  <m:ctrlPr>
                    <w:rPr>
                      <w:rFonts w:ascii="Cambria Math" w:hAnsi="Cambria Math" w:cs="Times New Roman"/>
                      <w:b/>
                      <w:i/>
                      <w:sz w:val="20"/>
                      <w:szCs w:val="20"/>
                    </w:rPr>
                  </m:ctrlPr>
                </m:fPr>
                <m:num>
                  <m:r>
                    <m:rPr>
                      <m:sty m:val="p"/>
                    </m:rPr>
                    <w:rPr>
                      <w:rFonts w:ascii="Cambria Math" w:hAnsi="Cambria Math" w:cs="Times New Roman"/>
                      <w:sz w:val="20"/>
                      <w:szCs w:val="20"/>
                    </w:rPr>
                    <m:t>242,500</m:t>
                  </m:r>
                </m:num>
                <m:den>
                  <m:r>
                    <m:rPr>
                      <m:sty m:val="p"/>
                    </m:rPr>
                    <w:rPr>
                      <w:rFonts w:ascii="Cambria Math" w:hAnsi="Cambria Math" w:cs="Times New Roman"/>
                      <w:sz w:val="20"/>
                      <w:szCs w:val="20"/>
                    </w:rPr>
                    <m:t>147,500</m:t>
                  </m:r>
                </m:den>
              </m:f>
              <m:r>
                <m:rPr>
                  <m:sty m:val="p"/>
                </m:rPr>
                <w:rPr>
                  <w:rFonts w:ascii="Cambria Math" w:hAnsi="Cambria Math" w:cs="Times New Roman"/>
                  <w:sz w:val="20"/>
                  <w:szCs w:val="20"/>
                </w:rPr>
                <m:t xml:space="preserve">      </m:t>
              </m:r>
            </m:oMath>
            <w:r w:rsidRPr="000702F7">
              <w:rPr>
                <w:rFonts w:ascii="Times New Roman" w:hAnsi="Times New Roman" w:cs="Times New Roman"/>
                <w:sz w:val="20"/>
                <w:szCs w:val="20"/>
              </w:rPr>
              <w:instrText xml:space="preserve"> </w:instrText>
            </w:r>
            <w:r w:rsidRPr="000702F7">
              <w:rPr>
                <w:rFonts w:ascii="Times New Roman" w:hAnsi="Times New Roman" w:cs="Times New Roman"/>
                <w:sz w:val="20"/>
                <w:szCs w:val="20"/>
              </w:rPr>
              <w:fldChar w:fldCharType="end"/>
            </w:r>
            <w:r w:rsidRPr="000702F7">
              <w:rPr>
                <w:rFonts w:ascii="Times New Roman" w:hAnsi="Times New Roman" w:cs="Times New Roman"/>
                <w:sz w:val="20"/>
                <w:szCs w:val="20"/>
              </w:rPr>
              <w:t xml:space="preserve"> </w:t>
            </w:r>
            <w:r w:rsidRPr="000702F7">
              <w:rPr>
                <w:rFonts w:ascii="Times New Roman" w:hAnsi="Times New Roman" w:cs="Times New Roman"/>
                <w:b/>
                <w:sz w:val="20"/>
                <w:szCs w:val="20"/>
              </w:rPr>
              <w:t>1.64 : 1</w:t>
            </w:r>
          </w:p>
        </w:tc>
      </w:tr>
    </w:tbl>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current ratio of this company has improved to 1.64 in 2016 from 1.41 in 2015. This is good sign of improvement.</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Solvency Ratios</w:t>
      </w:r>
    </w:p>
    <w:p w:rsidR="000702F7" w:rsidRPr="000702F7" w:rsidRDefault="000702F7" w:rsidP="00D9667E">
      <w:pPr>
        <w:pStyle w:val="ListParagraph"/>
        <w:numPr>
          <w:ilvl w:val="0"/>
          <w:numId w:val="26"/>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Debt Equity Ratio:- Calculation</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br/>
        <w:t xml:space="preserve"> =   </w:t>
      </w:r>
      <w:r w:rsidRPr="000702F7">
        <w:rPr>
          <w:rFonts w:ascii="Times New Roman" w:hAnsi="Times New Roman" w:cs="Times New Roman"/>
          <w:b/>
          <w:sz w:val="20"/>
          <w:szCs w:val="20"/>
        </w:rPr>
        <w:t>38,000 + 185,500    =   0.478 : 1</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b/>
          <w:sz w:val="20"/>
          <w:szCs w:val="20"/>
        </w:rPr>
        <w:t xml:space="preserve">     150,000 + 317,600</w:t>
      </w:r>
      <w:r w:rsidRPr="000702F7">
        <w:rPr>
          <w:rFonts w:ascii="Times New Roman" w:hAnsi="Times New Roman" w:cs="Times New Roman"/>
          <w:sz w:val="20"/>
          <w:szCs w:val="20"/>
        </w:rPr>
        <w:tab/>
      </w:r>
      <w:r w:rsidRPr="000702F7">
        <w:rPr>
          <w:rFonts w:ascii="Times New Roman" w:hAnsi="Times New Roman" w:cs="Times New Roman"/>
          <w:sz w:val="20"/>
          <w:szCs w:val="20"/>
        </w:rPr>
        <w:tab/>
      </w:r>
    </w:p>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ind w:left="720" w:firstLine="720"/>
        <w:jc w:val="both"/>
        <w:rPr>
          <w:rFonts w:ascii="Times New Roman" w:hAnsi="Times New Roman" w:cs="Times New Roman"/>
          <w:sz w:val="20"/>
          <w:szCs w:val="20"/>
        </w:rPr>
      </w:pPr>
      <w:r w:rsidRPr="000702F7">
        <w:rPr>
          <w:rFonts w:ascii="Times New Roman" w:hAnsi="Times New Roman" w:cs="Times New Roman"/>
          <w:sz w:val="20"/>
          <w:szCs w:val="20"/>
        </w:rPr>
        <w:t xml:space="preserve">Generally, Lower this ratio, the better it is. As per a generalized rule of 2 : 1, debt should be twice the equity, but in this case it is not satisfactory  </w:t>
      </w:r>
    </w:p>
    <w:p w:rsidR="000702F7" w:rsidRPr="000702F7" w:rsidRDefault="000702F7" w:rsidP="00D9667E">
      <w:pPr>
        <w:pStyle w:val="ListParagraph"/>
        <w:numPr>
          <w:ilvl w:val="0"/>
          <w:numId w:val="26"/>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Total Assets to Debt Ratio:- 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  185,500  +  38,000  =  223,500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(Here due to non availability of information 185,500 is assumed as long term loan</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Assets to debt ratio  =  </w:t>
      </w:r>
      <w:r w:rsidRPr="000702F7">
        <w:rPr>
          <w:rFonts w:ascii="Times New Roman" w:hAnsi="Times New Roman" w:cs="Times New Roman"/>
          <w:b/>
          <w:sz w:val="20"/>
          <w:szCs w:val="20"/>
        </w:rPr>
        <w:t>653,100   =  2.92 : 1</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223,500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Higher ratio represents higher security to the leaders of long term loan. The acceptable value to ratio is 2 : 1. In this case it is satisfactory. This means business heavily does not depends on outside loans for its existence</w:t>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Turnover Ratios</w:t>
      </w:r>
    </w:p>
    <w:p w:rsidR="000702F7" w:rsidRPr="000702F7" w:rsidRDefault="000702F7" w:rsidP="00D9667E">
      <w:pPr>
        <w:pStyle w:val="ListParagraph"/>
        <w:numPr>
          <w:ilvl w:val="0"/>
          <w:numId w:val="27"/>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Fixed assets Turnover Ratio:- 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w:t>
      </w:r>
      <w:r w:rsidRPr="000702F7">
        <w:rPr>
          <w:rFonts w:ascii="Times New Roman" w:hAnsi="Times New Roman" w:cs="Times New Roman"/>
          <w:b/>
          <w:sz w:val="20"/>
          <w:szCs w:val="20"/>
        </w:rPr>
        <w:t>1,360,000   =   3.31 times</w:t>
      </w:r>
      <w:r w:rsidRPr="000702F7">
        <w:rPr>
          <w:rFonts w:ascii="Times New Roman" w:hAnsi="Times New Roman" w:cs="Times New Roman"/>
          <w:sz w:val="20"/>
          <w:szCs w:val="20"/>
        </w:rPr>
        <w:t xml:space="preserve"> (2016)</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w:t>
      </w:r>
      <w:r w:rsidRPr="000702F7">
        <w:rPr>
          <w:rFonts w:ascii="Times New Roman" w:hAnsi="Times New Roman" w:cs="Times New Roman"/>
          <w:b/>
          <w:sz w:val="20"/>
          <w:szCs w:val="20"/>
        </w:rPr>
        <w:t>410,600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b/>
          <w:sz w:val="20"/>
          <w:szCs w:val="20"/>
        </w:rPr>
        <w:t>=    1,150,000      =     3 times</w:t>
      </w:r>
      <w:r w:rsidRPr="000702F7">
        <w:rPr>
          <w:rFonts w:ascii="Times New Roman" w:hAnsi="Times New Roman" w:cs="Times New Roman"/>
          <w:sz w:val="20"/>
          <w:szCs w:val="20"/>
        </w:rPr>
        <w:t xml:space="preserve"> (2015)</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b/>
          <w:sz w:val="20"/>
          <w:szCs w:val="20"/>
        </w:rPr>
        <w:t xml:space="preserve">        382,200</w:t>
      </w:r>
      <w:r w:rsidRPr="000702F7">
        <w:rPr>
          <w:rFonts w:ascii="Times New Roman" w:hAnsi="Times New Roman" w:cs="Times New Roman"/>
          <w:sz w:val="20"/>
          <w:szCs w:val="20"/>
        </w:rPr>
        <w:tab/>
      </w: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Comments</w:t>
      </w:r>
    </w:p>
    <w:p w:rsidR="000702F7" w:rsidRPr="000702F7" w:rsidRDefault="000702F7" w:rsidP="000702F7">
      <w:pPr>
        <w:spacing w:after="0" w:line="240" w:lineRule="auto"/>
        <w:ind w:left="720"/>
        <w:jc w:val="both"/>
        <w:rPr>
          <w:rFonts w:ascii="Times New Roman" w:hAnsi="Times New Roman" w:cs="Times New Roman"/>
          <w:sz w:val="20"/>
          <w:szCs w:val="20"/>
        </w:rPr>
      </w:pPr>
      <w:r w:rsidRPr="000702F7">
        <w:rPr>
          <w:rFonts w:ascii="Times New Roman" w:hAnsi="Times New Roman" w:cs="Times New Roman"/>
          <w:sz w:val="20"/>
          <w:szCs w:val="20"/>
        </w:rPr>
        <w:tab/>
        <w:t>In 2016, the ratio is almost 3.31 times so the investment in fixed assets is judicious. In 2016 the ratio is higher as compared to 2015. This means the position is improving.</w:t>
      </w:r>
    </w:p>
    <w:p w:rsidR="000702F7" w:rsidRPr="000702F7" w:rsidRDefault="000702F7" w:rsidP="000702F7">
      <w:pPr>
        <w:spacing w:after="0" w:line="240" w:lineRule="auto"/>
        <w:ind w:left="720"/>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Profitability Ratios</w:t>
      </w:r>
    </w:p>
    <w:p w:rsidR="000702F7" w:rsidRPr="000702F7" w:rsidRDefault="000702F7" w:rsidP="00D9667E">
      <w:pPr>
        <w:pStyle w:val="ListParagraph"/>
        <w:numPr>
          <w:ilvl w:val="0"/>
          <w:numId w:val="24"/>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Gross Profit Ratio :- Calculation</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GP Ratio = Gross Profit  ×  100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 xml:space="preserve">         Net Sales</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Gross Profit (2016)  =  Net Sales – COGS  =  1,360,000 – 788,800  =   571,200</w:t>
      </w: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Gross Profit (2015)  =  Net Sales – COGS  =  1,150,000 – 621,000  =   529,000</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 xml:space="preserve">GP Ratio (2016)  </w:t>
      </w:r>
      <w:r w:rsidRPr="000702F7">
        <w:rPr>
          <w:rFonts w:ascii="Times New Roman" w:hAnsi="Times New Roman" w:cs="Times New Roman"/>
          <w:b/>
          <w:sz w:val="20"/>
          <w:szCs w:val="20"/>
        </w:rPr>
        <w:t>571,200  ×  100  =  42%</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1,360,000</w:t>
      </w:r>
    </w:p>
    <w:p w:rsidR="000702F7" w:rsidRPr="000702F7" w:rsidRDefault="000702F7" w:rsidP="000702F7">
      <w:pPr>
        <w:spacing w:after="0" w:line="240" w:lineRule="auto"/>
        <w:ind w:firstLine="720"/>
        <w:jc w:val="both"/>
        <w:rPr>
          <w:rFonts w:ascii="Times New Roman" w:hAnsi="Times New Roman" w:cs="Times New Roman"/>
          <w:b/>
          <w:sz w:val="20"/>
          <w:szCs w:val="20"/>
        </w:rPr>
      </w:pP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 xml:space="preserve">GP Ratio (2015) </w:t>
      </w:r>
      <w:r w:rsidRPr="000702F7">
        <w:rPr>
          <w:rFonts w:ascii="Times New Roman" w:hAnsi="Times New Roman" w:cs="Times New Roman"/>
          <w:b/>
          <w:sz w:val="20"/>
          <w:szCs w:val="20"/>
        </w:rPr>
        <w:t>529,000  ×  100  =  46%</w:t>
      </w:r>
    </w:p>
    <w:p w:rsidR="000702F7" w:rsidRPr="000702F7" w:rsidRDefault="000702F7" w:rsidP="000702F7">
      <w:pPr>
        <w:spacing w:after="0" w:line="240" w:lineRule="auto"/>
        <w:ind w:firstLine="720"/>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1,150,000</w:t>
      </w:r>
    </w:p>
    <w:p w:rsidR="000702F7" w:rsidRPr="000702F7" w:rsidRDefault="000702F7" w:rsidP="000702F7">
      <w:pPr>
        <w:spacing w:after="0" w:line="240" w:lineRule="auto"/>
        <w:ind w:firstLine="720"/>
        <w:jc w:val="both"/>
        <w:rPr>
          <w:rFonts w:ascii="Times New Roman" w:hAnsi="Times New Roman" w:cs="Times New Roman"/>
          <w:sz w:val="20"/>
          <w:szCs w:val="20"/>
        </w:rPr>
      </w:pPr>
    </w:p>
    <w:p w:rsidR="000702F7" w:rsidRPr="000702F7" w:rsidRDefault="000702F7" w:rsidP="000702F7">
      <w:pPr>
        <w:spacing w:after="0" w:line="240" w:lineRule="auto"/>
        <w:ind w:firstLine="720"/>
        <w:jc w:val="both"/>
        <w:rPr>
          <w:rFonts w:ascii="Times New Roman" w:hAnsi="Times New Roman" w:cs="Times New Roman"/>
          <w:sz w:val="20"/>
          <w:szCs w:val="20"/>
        </w:rPr>
      </w:pPr>
      <w:r w:rsidRPr="000702F7">
        <w:rPr>
          <w:rFonts w:ascii="Times New Roman" w:hAnsi="Times New Roman" w:cs="Times New Roman"/>
          <w:sz w:val="20"/>
          <w:szCs w:val="20"/>
        </w:rPr>
        <w:t xml:space="preserve">Comments </w:t>
      </w:r>
    </w:p>
    <w:p w:rsidR="000702F7" w:rsidRPr="000702F7" w:rsidRDefault="000702F7" w:rsidP="000702F7">
      <w:pPr>
        <w:spacing w:after="0" w:line="240" w:lineRule="auto"/>
        <w:ind w:left="720" w:firstLine="720"/>
        <w:jc w:val="both"/>
        <w:rPr>
          <w:rFonts w:ascii="Times New Roman" w:hAnsi="Times New Roman" w:cs="Times New Roman"/>
          <w:sz w:val="20"/>
          <w:szCs w:val="20"/>
        </w:rPr>
      </w:pPr>
      <w:r w:rsidRPr="000702F7">
        <w:rPr>
          <w:rFonts w:ascii="Times New Roman" w:hAnsi="Times New Roman" w:cs="Times New Roman"/>
          <w:sz w:val="20"/>
          <w:szCs w:val="20"/>
        </w:rPr>
        <w:t>The GP Ratio shows the decrease of 2% as per available data which is a not good.</w:t>
      </w:r>
    </w:p>
    <w:p w:rsidR="000702F7" w:rsidRPr="000702F7" w:rsidRDefault="000702F7" w:rsidP="00D9667E">
      <w:pPr>
        <w:pStyle w:val="ListParagraph"/>
        <w:numPr>
          <w:ilvl w:val="0"/>
          <w:numId w:val="24"/>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Operating Ratio:- Calculations</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OR (2015) = </w:t>
      </w:r>
      <w:r w:rsidRPr="000702F7">
        <w:rPr>
          <w:rFonts w:ascii="Times New Roman" w:hAnsi="Times New Roman" w:cs="Times New Roman"/>
          <w:b/>
          <w:sz w:val="20"/>
          <w:szCs w:val="20"/>
        </w:rPr>
        <w:t>621,000+241,500×100=  75%</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t xml:space="preserve">  </w:t>
      </w:r>
      <w:r w:rsidRPr="000702F7">
        <w:rPr>
          <w:rFonts w:ascii="Times New Roman" w:hAnsi="Times New Roman" w:cs="Times New Roman"/>
          <w:b/>
          <w:sz w:val="20"/>
          <w:szCs w:val="20"/>
        </w:rPr>
        <w:tab/>
        <w:t xml:space="preserve">    1,150,000</w:t>
      </w:r>
    </w:p>
    <w:p w:rsidR="000702F7" w:rsidRPr="000702F7" w:rsidRDefault="000702F7" w:rsidP="000702F7">
      <w:pPr>
        <w:pStyle w:val="ListParagraph"/>
        <w:spacing w:after="0" w:line="240" w:lineRule="auto"/>
        <w:jc w:val="both"/>
        <w:rPr>
          <w:rFonts w:ascii="Times New Roman" w:hAnsi="Times New Roman" w:cs="Times New Roman"/>
          <w:b/>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OR (2016) = </w:t>
      </w:r>
      <w:r w:rsidRPr="000702F7">
        <w:rPr>
          <w:rFonts w:ascii="Times New Roman" w:hAnsi="Times New Roman" w:cs="Times New Roman"/>
          <w:b/>
          <w:sz w:val="20"/>
          <w:szCs w:val="20"/>
        </w:rPr>
        <w:t>788,800+312,800×100=  81%</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t xml:space="preserve">  </w:t>
      </w:r>
      <w:r w:rsidRPr="000702F7">
        <w:rPr>
          <w:rFonts w:ascii="Times New Roman" w:hAnsi="Times New Roman" w:cs="Times New Roman"/>
          <w:b/>
          <w:sz w:val="20"/>
          <w:szCs w:val="20"/>
        </w:rPr>
        <w:tab/>
        <w:t xml:space="preserve">    1,360,000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The operating ratio has improved. This means lesser profit is available to the investors in form of interest and dividend. So it is not a good sign.</w:t>
      </w:r>
    </w:p>
    <w:p w:rsidR="000702F7" w:rsidRPr="000702F7" w:rsidRDefault="000702F7" w:rsidP="00D9667E">
      <w:pPr>
        <w:pStyle w:val="ListParagraph"/>
        <w:numPr>
          <w:ilvl w:val="0"/>
          <w:numId w:val="24"/>
        </w:num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Net Profit Ratio:- Calculation </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Net Profit Ratio  =  Net Profit  ×  100</w:t>
      </w:r>
    </w:p>
    <w:p w:rsidR="000702F7" w:rsidRPr="000702F7" w:rsidRDefault="000702F7" w:rsidP="000702F7">
      <w:pPr>
        <w:pStyle w:val="ListParagraph"/>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Net Sales</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NPR (2015) =   </w:t>
      </w:r>
      <w:r w:rsidRPr="000702F7">
        <w:rPr>
          <w:rFonts w:ascii="Times New Roman" w:hAnsi="Times New Roman" w:cs="Times New Roman"/>
          <w:b/>
          <w:sz w:val="20"/>
          <w:szCs w:val="20"/>
        </w:rPr>
        <w:t>211,125   ×   100   =   18%</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1,150,000</w:t>
      </w:r>
    </w:p>
    <w:p w:rsidR="000702F7" w:rsidRPr="000702F7" w:rsidRDefault="000702F7" w:rsidP="000702F7">
      <w:pPr>
        <w:pStyle w:val="ListParagraph"/>
        <w:spacing w:after="0" w:line="240" w:lineRule="auto"/>
        <w:jc w:val="both"/>
        <w:rPr>
          <w:rFonts w:ascii="Times New Roman" w:hAnsi="Times New Roman" w:cs="Times New Roman"/>
          <w:sz w:val="20"/>
          <w:szCs w:val="20"/>
        </w:rPr>
      </w:pP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NPR (2016)=   </w:t>
      </w:r>
      <w:r w:rsidRPr="000702F7">
        <w:rPr>
          <w:rFonts w:ascii="Times New Roman" w:hAnsi="Times New Roman" w:cs="Times New Roman"/>
          <w:b/>
          <w:sz w:val="20"/>
          <w:szCs w:val="20"/>
        </w:rPr>
        <w:t>190,800  ×  100   =   14.02%</w:t>
      </w:r>
    </w:p>
    <w:p w:rsidR="000702F7" w:rsidRPr="000702F7" w:rsidRDefault="000702F7" w:rsidP="000702F7">
      <w:pPr>
        <w:pStyle w:val="ListParagraph"/>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w:t>
      </w:r>
      <w:r w:rsidRPr="000702F7">
        <w:rPr>
          <w:rFonts w:ascii="Times New Roman" w:hAnsi="Times New Roman" w:cs="Times New Roman"/>
          <w:b/>
          <w:sz w:val="20"/>
          <w:szCs w:val="20"/>
        </w:rPr>
        <w:t>1,360,000</w:t>
      </w:r>
    </w:p>
    <w:p w:rsidR="000702F7" w:rsidRPr="000702F7" w:rsidRDefault="000702F7" w:rsidP="000702F7">
      <w:p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Comment</w:t>
      </w:r>
    </w:p>
    <w:p w:rsidR="000702F7" w:rsidRPr="000702F7" w:rsidRDefault="000702F7" w:rsidP="000702F7">
      <w:pPr>
        <w:tabs>
          <w:tab w:val="left" w:pos="689"/>
          <w:tab w:val="left" w:pos="751"/>
          <w:tab w:val="left" w:pos="902"/>
        </w:tabs>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As it can be seen, the ratio of 2016 has decreased as compared to 2015 which is not good for business.</w:t>
      </w:r>
    </w:p>
    <w:p w:rsidR="000702F7" w:rsidRPr="000702F7" w:rsidRDefault="000702F7" w:rsidP="00D9667E">
      <w:pPr>
        <w:pStyle w:val="ListParagraph"/>
        <w:numPr>
          <w:ilvl w:val="0"/>
          <w:numId w:val="24"/>
        </w:num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Earnings Per share :- Calculations </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EPS  =  Net Profit after Tax </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 No of equity shares</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EPS(2016)  =  </w:t>
      </w:r>
      <w:r w:rsidRPr="000702F7">
        <w:rPr>
          <w:rFonts w:ascii="Times New Roman" w:hAnsi="Times New Roman" w:cs="Times New Roman"/>
          <w:b/>
          <w:sz w:val="20"/>
          <w:szCs w:val="20"/>
        </w:rPr>
        <w:t>190,800   =   $1.2 per share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ab/>
      </w:r>
      <w:r w:rsidRPr="000702F7">
        <w:rPr>
          <w:rFonts w:ascii="Times New Roman" w:hAnsi="Times New Roman" w:cs="Times New Roman"/>
          <w:b/>
          <w:sz w:val="20"/>
          <w:szCs w:val="20"/>
        </w:rPr>
        <w:tab/>
      </w:r>
      <w:r w:rsidRPr="000702F7">
        <w:rPr>
          <w:rFonts w:ascii="Times New Roman" w:hAnsi="Times New Roman" w:cs="Times New Roman"/>
          <w:b/>
          <w:sz w:val="20"/>
          <w:szCs w:val="20"/>
        </w:rPr>
        <w:tab/>
        <w:t xml:space="preserve">            150,000</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The EPS is very minimum which can be improved by increasing the performance of the business.</w:t>
      </w:r>
    </w:p>
    <w:p w:rsidR="000702F7" w:rsidRPr="000702F7" w:rsidRDefault="000702F7" w:rsidP="00D9667E">
      <w:pPr>
        <w:pStyle w:val="ListParagraph"/>
        <w:numPr>
          <w:ilvl w:val="0"/>
          <w:numId w:val="24"/>
        </w:num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Dividend per share:- Calculation</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sz w:val="20"/>
          <w:szCs w:val="20"/>
        </w:rPr>
        <w:t xml:space="preserve">DPS(2016)  =  </w:t>
      </w:r>
      <w:r w:rsidRPr="000702F7">
        <w:rPr>
          <w:rFonts w:ascii="Times New Roman" w:hAnsi="Times New Roman" w:cs="Times New Roman"/>
          <w:b/>
          <w:sz w:val="20"/>
          <w:szCs w:val="20"/>
        </w:rPr>
        <w:t>40,000  =   $0.26 per share</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     </w:t>
      </w: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b/>
          <w:sz w:val="20"/>
          <w:szCs w:val="20"/>
        </w:rPr>
        <w:t>150,000</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Comments</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The DPS of this company is shockingly very low. </w:t>
      </w:r>
    </w:p>
    <w:p w:rsidR="000702F7" w:rsidRPr="000702F7" w:rsidRDefault="000702F7" w:rsidP="00D9667E">
      <w:pPr>
        <w:pStyle w:val="ListParagraph"/>
        <w:numPr>
          <w:ilvl w:val="0"/>
          <w:numId w:val="24"/>
        </w:numPr>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Price Earning Ratio:- Calculation</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 xml:space="preserve">PER  =    </w:t>
      </w:r>
      <w:r w:rsidRPr="000702F7">
        <w:rPr>
          <w:rFonts w:ascii="Times New Roman" w:hAnsi="Times New Roman" w:cs="Times New Roman"/>
          <w:b/>
          <w:sz w:val="20"/>
          <w:szCs w:val="20"/>
        </w:rPr>
        <w:t>14   =   11.66 : 1</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b/>
          <w:sz w:val="20"/>
          <w:szCs w:val="20"/>
        </w:rPr>
      </w:pPr>
      <w:r w:rsidRPr="000702F7">
        <w:rPr>
          <w:rFonts w:ascii="Times New Roman" w:hAnsi="Times New Roman" w:cs="Times New Roman"/>
          <w:b/>
          <w:sz w:val="20"/>
          <w:szCs w:val="20"/>
        </w:rPr>
        <w:t xml:space="preserve">               1.2</w:t>
      </w:r>
    </w:p>
    <w:p w:rsidR="000702F7" w:rsidRPr="000702F7" w:rsidRDefault="000702F7" w:rsidP="000702F7">
      <w:pPr>
        <w:pStyle w:val="ListParagraph"/>
        <w:tabs>
          <w:tab w:val="left" w:pos="689"/>
          <w:tab w:val="left" w:pos="751"/>
          <w:tab w:val="left" w:pos="902"/>
        </w:tabs>
        <w:spacing w:after="0" w:line="240" w:lineRule="auto"/>
        <w:jc w:val="both"/>
        <w:rPr>
          <w:rFonts w:ascii="Times New Roman" w:hAnsi="Times New Roman" w:cs="Times New Roman"/>
          <w:sz w:val="20"/>
          <w:szCs w:val="20"/>
        </w:rPr>
      </w:pPr>
    </w:p>
    <w:p w:rsidR="000702F7" w:rsidRPr="000702F7" w:rsidRDefault="000702F7" w:rsidP="000702F7">
      <w:pPr>
        <w:spacing w:after="0" w:line="240" w:lineRule="auto"/>
        <w:jc w:val="both"/>
        <w:rPr>
          <w:rFonts w:ascii="Times New Roman" w:hAnsi="Times New Roman" w:cs="Times New Roman"/>
          <w:sz w:val="20"/>
          <w:szCs w:val="20"/>
        </w:rPr>
      </w:pPr>
      <w:r w:rsidRPr="000702F7">
        <w:rPr>
          <w:rFonts w:ascii="Times New Roman" w:hAnsi="Times New Roman" w:cs="Times New Roman"/>
          <w:sz w:val="20"/>
          <w:szCs w:val="20"/>
        </w:rPr>
        <w:tab/>
        <w:t>Comments</w:t>
      </w:r>
    </w:p>
    <w:p w:rsidR="000702F7" w:rsidRPr="000702F7" w:rsidRDefault="000702F7" w:rsidP="000702F7">
      <w:pPr>
        <w:spacing w:after="0" w:line="240" w:lineRule="auto"/>
        <w:ind w:left="720" w:hanging="720"/>
        <w:jc w:val="both"/>
        <w:rPr>
          <w:rFonts w:ascii="Times New Roman" w:hAnsi="Times New Roman" w:cs="Times New Roman"/>
          <w:sz w:val="20"/>
          <w:szCs w:val="20"/>
        </w:rPr>
      </w:pPr>
      <w:r w:rsidRPr="000702F7">
        <w:rPr>
          <w:rFonts w:ascii="Times New Roman" w:hAnsi="Times New Roman" w:cs="Times New Roman"/>
          <w:sz w:val="20"/>
          <w:szCs w:val="20"/>
        </w:rPr>
        <w:tab/>
      </w:r>
      <w:r w:rsidRPr="000702F7">
        <w:rPr>
          <w:rFonts w:ascii="Times New Roman" w:hAnsi="Times New Roman" w:cs="Times New Roman"/>
          <w:sz w:val="20"/>
          <w:szCs w:val="20"/>
        </w:rPr>
        <w:tab/>
        <w:t xml:space="preserve">Generally higher ratio is preferred because it ensures the faith of investors in the stability in the earnings of company.  </w:t>
      </w:r>
    </w:p>
    <w:p w:rsidR="000702F7" w:rsidRPr="000702F7" w:rsidRDefault="000702F7" w:rsidP="000702F7">
      <w:pPr>
        <w:spacing w:after="0" w:line="240" w:lineRule="auto"/>
        <w:ind w:left="720" w:hanging="720"/>
        <w:jc w:val="both"/>
        <w:rPr>
          <w:rFonts w:ascii="Times New Roman" w:hAnsi="Times New Roman" w:cs="Times New Roman"/>
          <w:sz w:val="20"/>
          <w:szCs w:val="20"/>
        </w:rPr>
      </w:pPr>
    </w:p>
    <w:p w:rsidR="000702F7" w:rsidRPr="000702F7" w:rsidRDefault="000702F7" w:rsidP="000702F7">
      <w:pPr>
        <w:pStyle w:val="keywords"/>
        <w:spacing w:after="0"/>
        <w:ind w:firstLine="0"/>
        <w:rPr>
          <w:rFonts w:eastAsia="MS Mincho"/>
          <w:sz w:val="22"/>
          <w:szCs w:val="22"/>
        </w:rPr>
      </w:pPr>
      <w:r w:rsidRPr="000702F7">
        <w:rPr>
          <w:rFonts w:eastAsia="MS Mincho"/>
          <w:color w:val="44546A" w:themeColor="text2"/>
          <w:sz w:val="22"/>
          <w:szCs w:val="22"/>
        </w:rPr>
        <w:t>CONCLUSION AND FUTURE SCOPE</w:t>
      </w:r>
    </w:p>
    <w:p w:rsidR="000702F7" w:rsidRPr="000702F7" w:rsidRDefault="000702F7" w:rsidP="000702F7">
      <w:pPr>
        <w:pStyle w:val="ListParagraph"/>
        <w:spacing w:after="0" w:line="240" w:lineRule="auto"/>
        <w:ind w:left="0"/>
        <w:jc w:val="both"/>
        <w:rPr>
          <w:rFonts w:ascii="Times New Roman" w:hAnsi="Times New Roman" w:cs="Times New Roman"/>
          <w:sz w:val="20"/>
          <w:szCs w:val="20"/>
        </w:rPr>
      </w:pPr>
      <w:r w:rsidRPr="000702F7">
        <w:rPr>
          <w:rFonts w:ascii="Times New Roman" w:hAnsi="Times New Roman" w:cs="Times New Roman"/>
          <w:sz w:val="20"/>
          <w:szCs w:val="20"/>
        </w:rPr>
        <w:t>If we want to invest in equity shares of the company, then we must go for CETI because as per the analysis, CETI has higher EPS as compared to that of GAIN.If we want to invest in debentures then we must go for GAIN because as per analysis, GAIN has lower Debt Equity Ratio than that of CETI. This is because more use of equity is safety for debenture holders.</w:t>
      </w:r>
    </w:p>
    <w:p w:rsidR="000702F7" w:rsidRDefault="000702F7" w:rsidP="000702F7">
      <w:pPr>
        <w:pStyle w:val="ListParagraph"/>
        <w:spacing w:after="0" w:line="240" w:lineRule="auto"/>
        <w:ind w:left="0"/>
        <w:jc w:val="both"/>
        <w:rPr>
          <w:rFonts w:ascii="Times New Roman" w:hAnsi="Times New Roman" w:cs="Times New Roman"/>
          <w:sz w:val="20"/>
          <w:szCs w:val="20"/>
        </w:rPr>
      </w:pPr>
    </w:p>
    <w:p w:rsidR="000702F7" w:rsidRPr="000702F7" w:rsidRDefault="000702F7" w:rsidP="000702F7">
      <w:pPr>
        <w:pStyle w:val="ListParagraph"/>
        <w:spacing w:after="0" w:line="240" w:lineRule="auto"/>
        <w:ind w:left="0"/>
        <w:jc w:val="both"/>
        <w:rPr>
          <w:rFonts w:ascii="Times New Roman" w:hAnsi="Times New Roman" w:cs="Times New Roman"/>
          <w:sz w:val="20"/>
          <w:szCs w:val="20"/>
        </w:rPr>
      </w:pPr>
      <w:r w:rsidRPr="000702F7">
        <w:rPr>
          <w:rFonts w:ascii="Times New Roman" w:hAnsi="Times New Roman" w:cs="Times New Roman"/>
          <w:sz w:val="20"/>
          <w:szCs w:val="20"/>
        </w:rPr>
        <w:t>So Ratio Analysis is best tool in the hands of management to judge the financial image of the company as it provides easy and direct inter and Intra company comparisons.</w:t>
      </w:r>
    </w:p>
    <w:p w:rsidR="000702F7" w:rsidRPr="000702F7" w:rsidRDefault="000702F7" w:rsidP="000702F7">
      <w:pPr>
        <w:pStyle w:val="keywords"/>
        <w:spacing w:after="0"/>
        <w:ind w:firstLine="0"/>
        <w:rPr>
          <w:rFonts w:eastAsia="MS Mincho"/>
          <w:b w:val="0"/>
          <w:i/>
          <w:sz w:val="20"/>
          <w:szCs w:val="20"/>
        </w:rPr>
      </w:pPr>
    </w:p>
    <w:p w:rsidR="000702F7" w:rsidRPr="000702F7" w:rsidRDefault="000702F7" w:rsidP="000702F7">
      <w:pPr>
        <w:pStyle w:val="keywords"/>
        <w:spacing w:after="0"/>
        <w:ind w:firstLine="0"/>
        <w:rPr>
          <w:rFonts w:eastAsia="MS Mincho"/>
          <w:color w:val="44546A" w:themeColor="text2"/>
          <w:sz w:val="22"/>
          <w:szCs w:val="22"/>
        </w:rPr>
      </w:pPr>
      <w:r w:rsidRPr="000702F7">
        <w:rPr>
          <w:rFonts w:eastAsia="MS Mincho"/>
          <w:color w:val="44546A" w:themeColor="text2"/>
          <w:sz w:val="22"/>
          <w:szCs w:val="22"/>
        </w:rPr>
        <w:t>REFRENCES</w:t>
      </w:r>
    </w:p>
    <w:p w:rsidR="000702F7" w:rsidRDefault="000702F7" w:rsidP="00D9667E">
      <w:pPr>
        <w:pStyle w:val="Default"/>
        <w:numPr>
          <w:ilvl w:val="0"/>
          <w:numId w:val="28"/>
        </w:numPr>
        <w:jc w:val="both"/>
        <w:rPr>
          <w:sz w:val="20"/>
          <w:szCs w:val="20"/>
        </w:rPr>
      </w:pPr>
      <w:r w:rsidRPr="000702F7">
        <w:rPr>
          <w:sz w:val="20"/>
          <w:szCs w:val="20"/>
        </w:rPr>
        <w:t xml:space="preserve">Basu, S. (1977)” Investment performance of common stocks in relation to their price-earnings ratios: A test of the efficient market hypothesis” </w:t>
      </w:r>
      <w:r w:rsidRPr="000702F7">
        <w:rPr>
          <w:i/>
          <w:iCs/>
          <w:sz w:val="20"/>
          <w:szCs w:val="20"/>
        </w:rPr>
        <w:t>The Journal of Finance, 32</w:t>
      </w:r>
      <w:r w:rsidRPr="000702F7">
        <w:rPr>
          <w:sz w:val="20"/>
          <w:szCs w:val="20"/>
        </w:rPr>
        <w:t xml:space="preserve">(3), 663-682. </w:t>
      </w:r>
    </w:p>
    <w:p w:rsidR="000702F7" w:rsidRDefault="000702F7" w:rsidP="00D9667E">
      <w:pPr>
        <w:pStyle w:val="Default"/>
        <w:numPr>
          <w:ilvl w:val="0"/>
          <w:numId w:val="28"/>
        </w:numPr>
        <w:jc w:val="both"/>
        <w:rPr>
          <w:sz w:val="20"/>
          <w:szCs w:val="20"/>
        </w:rPr>
      </w:pPr>
      <w:r w:rsidRPr="000702F7">
        <w:rPr>
          <w:sz w:val="20"/>
          <w:szCs w:val="20"/>
        </w:rPr>
        <w:t xml:space="preserve">Basu, S. (1983) “The relation between earnings yield, market value, and return for NYSE stocks: Further evidence” </w:t>
      </w:r>
      <w:r w:rsidRPr="000702F7">
        <w:rPr>
          <w:i/>
          <w:iCs/>
          <w:sz w:val="20"/>
          <w:szCs w:val="20"/>
        </w:rPr>
        <w:t>Journal of Financial Economics, 12</w:t>
      </w:r>
      <w:r w:rsidRPr="000702F7">
        <w:rPr>
          <w:sz w:val="20"/>
          <w:szCs w:val="20"/>
        </w:rPr>
        <w:t xml:space="preserve">(1), 129-56. </w:t>
      </w:r>
    </w:p>
    <w:p w:rsidR="000702F7" w:rsidRDefault="000702F7" w:rsidP="00D9667E">
      <w:pPr>
        <w:pStyle w:val="Default"/>
        <w:numPr>
          <w:ilvl w:val="0"/>
          <w:numId w:val="28"/>
        </w:numPr>
        <w:jc w:val="both"/>
        <w:rPr>
          <w:sz w:val="20"/>
          <w:szCs w:val="20"/>
        </w:rPr>
      </w:pPr>
      <w:r w:rsidRPr="000702F7">
        <w:rPr>
          <w:sz w:val="20"/>
          <w:szCs w:val="20"/>
        </w:rPr>
        <w:t xml:space="preserve">Beaver, W., &amp; Morse, D. (1978) “What determines price-earnings ratios” </w:t>
      </w:r>
      <w:r w:rsidRPr="000702F7">
        <w:rPr>
          <w:i/>
          <w:iCs/>
          <w:sz w:val="20"/>
          <w:szCs w:val="20"/>
        </w:rPr>
        <w:t>Financial Analysts Journal, 34</w:t>
      </w:r>
      <w:r w:rsidRPr="000702F7">
        <w:rPr>
          <w:sz w:val="20"/>
          <w:szCs w:val="20"/>
        </w:rPr>
        <w:t xml:space="preserve">(4), 65-76. </w:t>
      </w:r>
    </w:p>
    <w:p w:rsidR="000702F7" w:rsidRDefault="000702F7" w:rsidP="00D9667E">
      <w:pPr>
        <w:pStyle w:val="Default"/>
        <w:numPr>
          <w:ilvl w:val="0"/>
          <w:numId w:val="28"/>
        </w:numPr>
        <w:jc w:val="both"/>
        <w:rPr>
          <w:sz w:val="20"/>
          <w:szCs w:val="20"/>
        </w:rPr>
      </w:pPr>
      <w:r w:rsidRPr="000702F7">
        <w:rPr>
          <w:sz w:val="20"/>
          <w:szCs w:val="20"/>
        </w:rPr>
        <w:t xml:space="preserve">Bradshaw, M. (2002) “The use of target prices to justify sell-side analysts stock recommendations” </w:t>
      </w:r>
      <w:r w:rsidRPr="000702F7">
        <w:rPr>
          <w:i/>
          <w:iCs/>
          <w:sz w:val="20"/>
          <w:szCs w:val="20"/>
        </w:rPr>
        <w:t>Accounting Horizons, 16</w:t>
      </w:r>
      <w:r w:rsidRPr="000702F7">
        <w:rPr>
          <w:sz w:val="20"/>
          <w:szCs w:val="20"/>
        </w:rPr>
        <w:t xml:space="preserve">(1), 27-41. </w:t>
      </w:r>
    </w:p>
    <w:p w:rsidR="000702F7" w:rsidRDefault="000702F7" w:rsidP="00D9667E">
      <w:pPr>
        <w:pStyle w:val="Default"/>
        <w:numPr>
          <w:ilvl w:val="0"/>
          <w:numId w:val="28"/>
        </w:numPr>
        <w:jc w:val="both"/>
        <w:rPr>
          <w:sz w:val="20"/>
          <w:szCs w:val="20"/>
        </w:rPr>
      </w:pPr>
      <w:r w:rsidRPr="000702F7">
        <w:rPr>
          <w:sz w:val="20"/>
          <w:szCs w:val="20"/>
        </w:rPr>
        <w:t xml:space="preserve">Dechow, P., Hutton, A., &amp; Sloan, R. (1999) “An empirical assessment of the residual income valuation model” </w:t>
      </w:r>
      <w:r w:rsidRPr="000702F7">
        <w:rPr>
          <w:i/>
          <w:iCs/>
          <w:sz w:val="20"/>
          <w:szCs w:val="20"/>
        </w:rPr>
        <w:t>Journal of Accounting &amp; Economics, 26</w:t>
      </w:r>
      <w:r w:rsidRPr="000702F7">
        <w:rPr>
          <w:sz w:val="20"/>
          <w:szCs w:val="20"/>
        </w:rPr>
        <w:t xml:space="preserve">(1-3), 1-34. </w:t>
      </w:r>
    </w:p>
    <w:p w:rsidR="000702F7" w:rsidRDefault="000702F7" w:rsidP="00D9667E">
      <w:pPr>
        <w:pStyle w:val="Default"/>
        <w:numPr>
          <w:ilvl w:val="0"/>
          <w:numId w:val="28"/>
        </w:numPr>
        <w:jc w:val="both"/>
        <w:rPr>
          <w:sz w:val="20"/>
          <w:szCs w:val="20"/>
        </w:rPr>
      </w:pPr>
      <w:r w:rsidRPr="000702F7">
        <w:rPr>
          <w:sz w:val="20"/>
          <w:szCs w:val="20"/>
        </w:rPr>
        <w:t xml:space="preserve">Fairfield, P. (1994), “E/P, P/B and the present value of future dividends” </w:t>
      </w:r>
      <w:r w:rsidRPr="000702F7">
        <w:rPr>
          <w:i/>
          <w:iCs/>
          <w:sz w:val="20"/>
          <w:szCs w:val="20"/>
        </w:rPr>
        <w:t>Financial Analysts Journal, 50</w:t>
      </w:r>
      <w:r w:rsidRPr="000702F7">
        <w:rPr>
          <w:sz w:val="20"/>
          <w:szCs w:val="20"/>
        </w:rPr>
        <w:t xml:space="preserve">(4), 23-31. </w:t>
      </w:r>
    </w:p>
    <w:p w:rsidR="000702F7" w:rsidRDefault="000702F7" w:rsidP="00D9667E">
      <w:pPr>
        <w:pStyle w:val="Default"/>
        <w:numPr>
          <w:ilvl w:val="0"/>
          <w:numId w:val="28"/>
        </w:numPr>
        <w:jc w:val="both"/>
        <w:rPr>
          <w:sz w:val="20"/>
          <w:szCs w:val="20"/>
        </w:rPr>
      </w:pPr>
      <w:r w:rsidRPr="000702F7">
        <w:rPr>
          <w:sz w:val="20"/>
          <w:szCs w:val="20"/>
        </w:rPr>
        <w:t xml:space="preserve">Gode, D., &amp; Mohanram, P. (2003) “ Inferring the cost of capital using the Ohlson–Juettner model” </w:t>
      </w:r>
      <w:r w:rsidRPr="000702F7">
        <w:rPr>
          <w:i/>
          <w:iCs/>
          <w:sz w:val="20"/>
          <w:szCs w:val="20"/>
        </w:rPr>
        <w:t>Review of Accounting Studies, 8</w:t>
      </w:r>
      <w:r w:rsidRPr="000702F7">
        <w:rPr>
          <w:sz w:val="20"/>
          <w:szCs w:val="20"/>
        </w:rPr>
        <w:t xml:space="preserve">(4), 399-431. </w:t>
      </w:r>
    </w:p>
    <w:p w:rsidR="000702F7" w:rsidRDefault="000702F7" w:rsidP="00D9667E">
      <w:pPr>
        <w:pStyle w:val="Default"/>
        <w:numPr>
          <w:ilvl w:val="0"/>
          <w:numId w:val="28"/>
        </w:numPr>
        <w:jc w:val="both"/>
        <w:rPr>
          <w:sz w:val="20"/>
          <w:szCs w:val="20"/>
        </w:rPr>
      </w:pPr>
      <w:r w:rsidRPr="000702F7">
        <w:rPr>
          <w:sz w:val="20"/>
          <w:szCs w:val="20"/>
        </w:rPr>
        <w:t xml:space="preserve">Jaffe, J., Keim, D., &amp; Westerfield, R. (1989) “Earnings yields, market values, and stock returns” </w:t>
      </w:r>
      <w:r w:rsidRPr="000702F7">
        <w:rPr>
          <w:i/>
          <w:iCs/>
          <w:sz w:val="20"/>
          <w:szCs w:val="20"/>
        </w:rPr>
        <w:t>Journal of Finance, 44</w:t>
      </w:r>
      <w:r w:rsidRPr="000702F7">
        <w:rPr>
          <w:sz w:val="20"/>
          <w:szCs w:val="20"/>
        </w:rPr>
        <w:t xml:space="preserve">(1), 135-48. </w:t>
      </w:r>
    </w:p>
    <w:p w:rsidR="000702F7" w:rsidRDefault="000702F7" w:rsidP="00D9667E">
      <w:pPr>
        <w:pStyle w:val="Default"/>
        <w:numPr>
          <w:ilvl w:val="0"/>
          <w:numId w:val="28"/>
        </w:numPr>
        <w:jc w:val="both"/>
        <w:rPr>
          <w:sz w:val="20"/>
          <w:szCs w:val="20"/>
        </w:rPr>
      </w:pPr>
      <w:r w:rsidRPr="000702F7">
        <w:rPr>
          <w:sz w:val="20"/>
          <w:szCs w:val="20"/>
        </w:rPr>
        <w:t xml:space="preserve">Kim, M., &amp; Ritter, J. (1999) “ Valuing IPOs” </w:t>
      </w:r>
      <w:r w:rsidRPr="000702F7">
        <w:rPr>
          <w:i/>
          <w:iCs/>
          <w:sz w:val="20"/>
          <w:szCs w:val="20"/>
        </w:rPr>
        <w:t>Journal of Financial Economics, 53</w:t>
      </w:r>
      <w:r w:rsidRPr="000702F7">
        <w:rPr>
          <w:sz w:val="20"/>
          <w:szCs w:val="20"/>
        </w:rPr>
        <w:t xml:space="preserve">(3), 409-437. </w:t>
      </w:r>
    </w:p>
    <w:p w:rsidR="000702F7" w:rsidRDefault="000702F7" w:rsidP="00D9667E">
      <w:pPr>
        <w:pStyle w:val="Default"/>
        <w:numPr>
          <w:ilvl w:val="0"/>
          <w:numId w:val="28"/>
        </w:numPr>
        <w:jc w:val="both"/>
        <w:rPr>
          <w:sz w:val="20"/>
          <w:szCs w:val="20"/>
        </w:rPr>
      </w:pPr>
      <w:r w:rsidRPr="000702F7">
        <w:rPr>
          <w:sz w:val="20"/>
          <w:szCs w:val="20"/>
        </w:rPr>
        <w:t xml:space="preserve">Liu, J., Nissim, D., &amp; Thomas, J. (2002) “Equity valuation using multiples” </w:t>
      </w:r>
      <w:r w:rsidRPr="000702F7">
        <w:rPr>
          <w:i/>
          <w:iCs/>
          <w:sz w:val="20"/>
          <w:szCs w:val="20"/>
        </w:rPr>
        <w:t>Journal of Accounting Research, 40</w:t>
      </w:r>
      <w:r>
        <w:rPr>
          <w:sz w:val="20"/>
          <w:szCs w:val="20"/>
        </w:rPr>
        <w:t>(1), 135-172.</w:t>
      </w:r>
    </w:p>
    <w:p w:rsidR="000702F7" w:rsidRDefault="000702F7" w:rsidP="00D9667E">
      <w:pPr>
        <w:pStyle w:val="Default"/>
        <w:numPr>
          <w:ilvl w:val="0"/>
          <w:numId w:val="28"/>
        </w:numPr>
        <w:jc w:val="both"/>
        <w:rPr>
          <w:sz w:val="20"/>
          <w:szCs w:val="20"/>
        </w:rPr>
      </w:pPr>
      <w:r w:rsidRPr="000702F7">
        <w:rPr>
          <w:sz w:val="20"/>
          <w:szCs w:val="20"/>
        </w:rPr>
        <w:t xml:space="preserve">Mohanram, P. (2005) “Separating winners from losers among low book-to-market stocks using financial statement analysis” </w:t>
      </w:r>
      <w:r w:rsidRPr="000702F7">
        <w:rPr>
          <w:i/>
          <w:iCs/>
          <w:sz w:val="20"/>
          <w:szCs w:val="20"/>
        </w:rPr>
        <w:t>Review of Accounting Studies, 10</w:t>
      </w:r>
      <w:r w:rsidRPr="000702F7">
        <w:rPr>
          <w:sz w:val="20"/>
          <w:szCs w:val="20"/>
        </w:rPr>
        <w:t xml:space="preserve">(2-3), 133-170. </w:t>
      </w:r>
    </w:p>
    <w:p w:rsidR="00CF2D8F" w:rsidRDefault="000702F7" w:rsidP="00D9667E">
      <w:pPr>
        <w:pStyle w:val="Default"/>
        <w:numPr>
          <w:ilvl w:val="0"/>
          <w:numId w:val="28"/>
        </w:numPr>
        <w:jc w:val="both"/>
        <w:rPr>
          <w:sz w:val="20"/>
          <w:szCs w:val="20"/>
        </w:rPr>
      </w:pPr>
      <w:r w:rsidRPr="000702F7">
        <w:rPr>
          <w:sz w:val="20"/>
          <w:szCs w:val="20"/>
        </w:rPr>
        <w:t xml:space="preserve">Ohlson J., &amp; Gao, Z. (2006) “Earnings, earnings growth and value” </w:t>
      </w:r>
      <w:r w:rsidRPr="000702F7">
        <w:rPr>
          <w:i/>
          <w:iCs/>
          <w:sz w:val="20"/>
          <w:szCs w:val="20"/>
        </w:rPr>
        <w:t>Foundations and Trends in Accounting, 1</w:t>
      </w:r>
      <w:r w:rsidRPr="000702F7">
        <w:rPr>
          <w:sz w:val="20"/>
          <w:szCs w:val="20"/>
        </w:rPr>
        <w:t>(1).</w:t>
      </w:r>
    </w:p>
    <w:p w:rsidR="000702F7" w:rsidRDefault="000702F7" w:rsidP="000702F7">
      <w:pPr>
        <w:pStyle w:val="Default"/>
        <w:jc w:val="both"/>
        <w:rPr>
          <w:sz w:val="20"/>
          <w:szCs w:val="20"/>
        </w:rPr>
      </w:pPr>
    </w:p>
    <w:p w:rsidR="000702F7" w:rsidRPr="000702F7" w:rsidRDefault="000702F7" w:rsidP="000702F7">
      <w:pPr>
        <w:pStyle w:val="Default"/>
        <w:jc w:val="both"/>
        <w:rPr>
          <w:sz w:val="20"/>
          <w:szCs w:val="20"/>
        </w:rPr>
      </w:pPr>
    </w:p>
    <w:p w:rsidR="00A649EB" w:rsidRDefault="00A649EB" w:rsidP="00A649EB">
      <w:pPr>
        <w:spacing w:after="0" w:line="240" w:lineRule="auto"/>
        <w:jc w:val="both"/>
        <w:rPr>
          <w:rFonts w:ascii="Times New Roman" w:hAnsi="Times New Roman" w:cs="Times New Roman"/>
          <w:sz w:val="20"/>
          <w:szCs w:val="20"/>
        </w:rPr>
      </w:pPr>
    </w:p>
    <w:p w:rsidR="00A649EB" w:rsidRPr="00A649EB" w:rsidRDefault="00A649EB" w:rsidP="00A649EB">
      <w:pPr>
        <w:spacing w:after="0" w:line="240" w:lineRule="auto"/>
        <w:jc w:val="both"/>
        <w:rPr>
          <w:rFonts w:ascii="Times New Roman" w:hAnsi="Times New Roman" w:cs="Times New Roman"/>
          <w:sz w:val="20"/>
          <w:szCs w:val="20"/>
        </w:rPr>
      </w:pPr>
    </w:p>
    <w:p w:rsidR="00085751" w:rsidRDefault="00085751" w:rsidP="00085751">
      <w:pPr>
        <w:spacing w:after="0" w:line="240" w:lineRule="auto"/>
        <w:jc w:val="both"/>
        <w:rPr>
          <w:rFonts w:ascii="Times New Roman" w:hAnsi="Times New Roman" w:cs="Times New Roman"/>
          <w:color w:val="000000"/>
          <w:spacing w:val="-1"/>
          <w:sz w:val="20"/>
          <w:szCs w:val="20"/>
        </w:rPr>
      </w:pPr>
    </w:p>
    <w:p w:rsidR="00085751" w:rsidRPr="00085751" w:rsidRDefault="00085751" w:rsidP="00085751">
      <w:pPr>
        <w:spacing w:after="0" w:line="240" w:lineRule="auto"/>
        <w:jc w:val="both"/>
        <w:rPr>
          <w:rFonts w:ascii="Times New Roman" w:hAnsi="Times New Roman" w:cs="Times New Roman"/>
          <w:color w:val="000000"/>
          <w:spacing w:val="-1"/>
          <w:sz w:val="20"/>
          <w:szCs w:val="20"/>
        </w:rPr>
      </w:pPr>
    </w:p>
    <w:p w:rsidR="00906651" w:rsidRDefault="00906651" w:rsidP="00906651">
      <w:pPr>
        <w:spacing w:after="0" w:line="240" w:lineRule="auto"/>
        <w:jc w:val="both"/>
        <w:rPr>
          <w:rFonts w:ascii="Times New Roman" w:hAnsi="Times New Roman" w:cs="Times New Roman"/>
          <w:sz w:val="20"/>
          <w:szCs w:val="20"/>
        </w:rPr>
      </w:pPr>
    </w:p>
    <w:p w:rsidR="00906651" w:rsidRPr="00906651" w:rsidRDefault="00906651" w:rsidP="00906651">
      <w:pPr>
        <w:spacing w:after="0" w:line="240" w:lineRule="auto"/>
        <w:jc w:val="both"/>
        <w:rPr>
          <w:rFonts w:ascii="Times New Roman" w:hAnsi="Times New Roman" w:cs="Times New Roman"/>
          <w:sz w:val="20"/>
          <w:szCs w:val="20"/>
        </w:rPr>
      </w:pPr>
    </w:p>
    <w:sectPr w:rsidR="00906651" w:rsidRPr="00906651" w:rsidSect="004B243A">
      <w:headerReference w:type="default" r:id="rId9"/>
      <w:footerReference w:type="default" r:id="rId10"/>
      <w:type w:val="continuous"/>
      <w:pgSz w:w="11907" w:h="16839" w:code="9"/>
      <w:pgMar w:top="1440" w:right="1440" w:bottom="1440" w:left="1440" w:header="720" w:footer="720" w:gutter="0"/>
      <w:pgNumType w:start="38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3C1" w:rsidRDefault="006863C1" w:rsidP="00C556D7">
      <w:pPr>
        <w:spacing w:after="0" w:line="240" w:lineRule="auto"/>
      </w:pPr>
      <w:r>
        <w:separator/>
      </w:r>
    </w:p>
  </w:endnote>
  <w:endnote w:type="continuationSeparator" w:id="0">
    <w:p w:rsidR="006863C1" w:rsidRDefault="006863C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Default="007C3926"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C3926" w:rsidRPr="00786CDA" w:rsidRDefault="007C3926" w:rsidP="00786CDA">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6863C1">
          <w:rPr>
            <w:noProof/>
            <w:color w:val="44546A" w:themeColor="text2"/>
          </w:rPr>
          <w:t>389</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3C1" w:rsidRDefault="006863C1" w:rsidP="00C556D7">
      <w:pPr>
        <w:spacing w:after="0" w:line="240" w:lineRule="auto"/>
      </w:pPr>
      <w:r>
        <w:separator/>
      </w:r>
    </w:p>
  </w:footnote>
  <w:footnote w:type="continuationSeparator" w:id="0">
    <w:p w:rsidR="006863C1" w:rsidRDefault="006863C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Pr="00167C79" w:rsidRDefault="007C3926"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C3926" w:rsidRPr="00167C79" w:rsidRDefault="003956AA" w:rsidP="00C556D7">
    <w:pPr>
      <w:pStyle w:val="Header"/>
      <w:rPr>
        <w:rFonts w:ascii="Times New Roman" w:hAnsi="Times New Roman"/>
        <w:b/>
        <w:color w:val="44546A" w:themeColor="text2"/>
      </w:rPr>
    </w:pPr>
    <w:r>
      <w:rPr>
        <w:rFonts w:ascii="Times New Roman" w:hAnsi="Times New Roman"/>
        <w:b/>
        <w:color w:val="44546A" w:themeColor="text2"/>
      </w:rPr>
      <w:t>[Kaur</w:t>
    </w:r>
    <w:r w:rsidR="007C3926" w:rsidRPr="00167C79">
      <w:rPr>
        <w:rFonts w:ascii="Times New Roman" w:hAnsi="Times New Roman"/>
        <w:b/>
        <w:color w:val="44546A" w:themeColor="text2"/>
      </w:rPr>
      <w:t xml:space="preserve">* </w:t>
    </w:r>
    <w:r w:rsidR="007C3926" w:rsidRPr="00167C79">
      <w:rPr>
        <w:rFonts w:ascii="Times New Roman" w:hAnsi="Times New Roman"/>
        <w:b/>
        <w:i/>
        <w:color w:val="44546A" w:themeColor="text2"/>
      </w:rPr>
      <w:t>et al.,</w:t>
    </w:r>
    <w:r w:rsidR="007C3926">
      <w:rPr>
        <w:rFonts w:ascii="Times New Roman" w:hAnsi="Times New Roman"/>
        <w:b/>
        <w:color w:val="44546A" w:themeColor="text2"/>
      </w:rPr>
      <w:t xml:space="preserve"> 5(12</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December</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2016</w:t>
    </w:r>
    <w:r w:rsidR="007C3926" w:rsidRPr="00167C79">
      <w:rPr>
        <w:rFonts w:ascii="Times New Roman" w:hAnsi="Times New Roman"/>
        <w:b/>
        <w:color w:val="44546A" w:themeColor="text2"/>
      </w:rPr>
      <w:t xml:space="preserve">] </w:t>
    </w:r>
    <w:r w:rsidR="007C3926" w:rsidRPr="00167C79">
      <w:rPr>
        <w:rFonts w:ascii="Times New Roman" w:hAnsi="Times New Roman"/>
        <w:b/>
        <w:color w:val="44546A" w:themeColor="text2"/>
      </w:rPr>
      <w:tab/>
    </w:r>
    <w:r w:rsidR="007C3926" w:rsidRPr="00167C79">
      <w:rPr>
        <w:rFonts w:ascii="Times New Roman" w:hAnsi="Times New Roman"/>
        <w:b/>
        <w:color w:val="44546A" w:themeColor="text2"/>
      </w:rPr>
      <w:tab/>
      <w:t>Impact Factor: 4.116</w:t>
    </w:r>
  </w:p>
  <w:p w:rsidR="007C3926" w:rsidRPr="00167C79" w:rsidRDefault="007C3926"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9232FE3"/>
    <w:multiLevelType w:val="hybridMultilevel"/>
    <w:tmpl w:val="2D185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D31AFA"/>
    <w:multiLevelType w:val="hybridMultilevel"/>
    <w:tmpl w:val="4C026A4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26971B84"/>
    <w:multiLevelType w:val="hybridMultilevel"/>
    <w:tmpl w:val="BDF85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6"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7" w15:restartNumberingAfterBreak="0">
    <w:nsid w:val="2CBE2957"/>
    <w:multiLevelType w:val="hybridMultilevel"/>
    <w:tmpl w:val="739E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A4235"/>
    <w:multiLevelType w:val="hybridMultilevel"/>
    <w:tmpl w:val="90023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15B39"/>
    <w:multiLevelType w:val="hybridMultilevel"/>
    <w:tmpl w:val="DE528006"/>
    <w:lvl w:ilvl="0" w:tplc="5142C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7B2ED3"/>
    <w:multiLevelType w:val="hybridMultilevel"/>
    <w:tmpl w:val="99AA8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2"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3"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5"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7" w15:restartNumberingAfterBreak="0">
    <w:nsid w:val="67503666"/>
    <w:multiLevelType w:val="hybridMultilevel"/>
    <w:tmpl w:val="A0F68B96"/>
    <w:numStyleLink w:val="Numbered"/>
  </w:abstractNum>
  <w:abstractNum w:abstractNumId="28"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4"/>
  </w:num>
  <w:num w:numId="4">
    <w:abstractNumId w:val="12"/>
  </w:num>
  <w:num w:numId="5">
    <w:abstractNumId w:val="25"/>
  </w:num>
  <w:num w:numId="6">
    <w:abstractNumId w:val="27"/>
    <w:lvlOverride w:ilvl="0">
      <w:startOverride w:val="1"/>
      <w:lvl w:ilvl="0" w:tplc="FE385D8C">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8022F8C">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228FEF0">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A70CEB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1A85CD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54CFAE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718E09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F0C4C8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BF8BA1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6"/>
  </w:num>
  <w:num w:numId="8">
    <w:abstractNumId w:val="11"/>
  </w:num>
  <w:num w:numId="9">
    <w:abstractNumId w:val="5"/>
  </w:num>
  <w:num w:numId="10">
    <w:abstractNumId w:val="1"/>
  </w:num>
  <w:num w:numId="11">
    <w:abstractNumId w:val="0"/>
  </w:num>
  <w:num w:numId="12">
    <w:abstractNumId w:val="26"/>
  </w:num>
  <w:num w:numId="13">
    <w:abstractNumId w:val="28"/>
  </w:num>
  <w:num w:numId="14">
    <w:abstractNumId w:val="21"/>
  </w:num>
  <w:num w:numId="15">
    <w:abstractNumId w:val="22"/>
  </w:num>
  <w:num w:numId="16">
    <w:abstractNumId w:val="6"/>
  </w:num>
  <w:num w:numId="17">
    <w:abstractNumId w:val="4"/>
  </w:num>
  <w:num w:numId="18">
    <w:abstractNumId w:val="23"/>
  </w:num>
  <w:num w:numId="19">
    <w:abstractNumId w:val="10"/>
  </w:num>
  <w:num w:numId="20">
    <w:abstractNumId w:val="14"/>
  </w:num>
  <w:num w:numId="21">
    <w:abstractNumId w:val="9"/>
  </w:num>
  <w:num w:numId="22">
    <w:abstractNumId w:val="17"/>
  </w:num>
  <w:num w:numId="23">
    <w:abstractNumId w:val="7"/>
  </w:num>
  <w:num w:numId="24">
    <w:abstractNumId w:val="13"/>
  </w:num>
  <w:num w:numId="25">
    <w:abstractNumId w:val="19"/>
  </w:num>
  <w:num w:numId="26">
    <w:abstractNumId w:val="18"/>
  </w:num>
  <w:num w:numId="27">
    <w:abstractNumId w:val="20"/>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1F9F"/>
    <w:rsid w:val="00012B2C"/>
    <w:rsid w:val="000152FB"/>
    <w:rsid w:val="00016DFC"/>
    <w:rsid w:val="000214CE"/>
    <w:rsid w:val="0002253E"/>
    <w:rsid w:val="00022B09"/>
    <w:rsid w:val="00022D11"/>
    <w:rsid w:val="00032674"/>
    <w:rsid w:val="000338D2"/>
    <w:rsid w:val="00034E7E"/>
    <w:rsid w:val="0004094C"/>
    <w:rsid w:val="00043FE3"/>
    <w:rsid w:val="000462B7"/>
    <w:rsid w:val="00046A8C"/>
    <w:rsid w:val="00056304"/>
    <w:rsid w:val="00060D71"/>
    <w:rsid w:val="000659C1"/>
    <w:rsid w:val="000660EE"/>
    <w:rsid w:val="00066A51"/>
    <w:rsid w:val="00066AE6"/>
    <w:rsid w:val="000702F7"/>
    <w:rsid w:val="00070EF5"/>
    <w:rsid w:val="00072AA5"/>
    <w:rsid w:val="00073417"/>
    <w:rsid w:val="00073EB2"/>
    <w:rsid w:val="00082607"/>
    <w:rsid w:val="0008497E"/>
    <w:rsid w:val="00085489"/>
    <w:rsid w:val="00085751"/>
    <w:rsid w:val="00085BE2"/>
    <w:rsid w:val="0009510A"/>
    <w:rsid w:val="000971C0"/>
    <w:rsid w:val="000A02E0"/>
    <w:rsid w:val="000A06F5"/>
    <w:rsid w:val="000A2BD1"/>
    <w:rsid w:val="000A4BC2"/>
    <w:rsid w:val="000A58F6"/>
    <w:rsid w:val="000A79C5"/>
    <w:rsid w:val="000B1AF3"/>
    <w:rsid w:val="000B1F8B"/>
    <w:rsid w:val="000B2A6B"/>
    <w:rsid w:val="000B68C4"/>
    <w:rsid w:val="000C0996"/>
    <w:rsid w:val="000C4877"/>
    <w:rsid w:val="000C555A"/>
    <w:rsid w:val="000C605D"/>
    <w:rsid w:val="000C6F73"/>
    <w:rsid w:val="000D129B"/>
    <w:rsid w:val="000D1F7E"/>
    <w:rsid w:val="000D3C5A"/>
    <w:rsid w:val="000E023B"/>
    <w:rsid w:val="000E03CE"/>
    <w:rsid w:val="000E3B3F"/>
    <w:rsid w:val="000E41E3"/>
    <w:rsid w:val="000E4C83"/>
    <w:rsid w:val="000E4C9E"/>
    <w:rsid w:val="000E4DEF"/>
    <w:rsid w:val="000E6C35"/>
    <w:rsid w:val="000F2F73"/>
    <w:rsid w:val="000F358C"/>
    <w:rsid w:val="000F5B54"/>
    <w:rsid w:val="00103F31"/>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C46"/>
    <w:rsid w:val="00140A98"/>
    <w:rsid w:val="00141FEF"/>
    <w:rsid w:val="00151DA7"/>
    <w:rsid w:val="001533BF"/>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87B40"/>
    <w:rsid w:val="00191766"/>
    <w:rsid w:val="00193604"/>
    <w:rsid w:val="001A07F3"/>
    <w:rsid w:val="001A6572"/>
    <w:rsid w:val="001B1EC3"/>
    <w:rsid w:val="001B6738"/>
    <w:rsid w:val="001B70E4"/>
    <w:rsid w:val="001B7343"/>
    <w:rsid w:val="001B7BC2"/>
    <w:rsid w:val="001C0F2F"/>
    <w:rsid w:val="001C7225"/>
    <w:rsid w:val="001D4A69"/>
    <w:rsid w:val="001D4B13"/>
    <w:rsid w:val="001D72F8"/>
    <w:rsid w:val="001D7AFF"/>
    <w:rsid w:val="001E0A1F"/>
    <w:rsid w:val="001E1DC0"/>
    <w:rsid w:val="001E2085"/>
    <w:rsid w:val="001E3FD5"/>
    <w:rsid w:val="001E5029"/>
    <w:rsid w:val="001F2F96"/>
    <w:rsid w:val="001F50A0"/>
    <w:rsid w:val="001F68DE"/>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32FF8"/>
    <w:rsid w:val="002339A7"/>
    <w:rsid w:val="00233E1F"/>
    <w:rsid w:val="002345C6"/>
    <w:rsid w:val="00234FB2"/>
    <w:rsid w:val="00235DC7"/>
    <w:rsid w:val="0023615F"/>
    <w:rsid w:val="00240129"/>
    <w:rsid w:val="00241393"/>
    <w:rsid w:val="00246C49"/>
    <w:rsid w:val="0024768D"/>
    <w:rsid w:val="002504FE"/>
    <w:rsid w:val="002525E4"/>
    <w:rsid w:val="00253F94"/>
    <w:rsid w:val="00255CB2"/>
    <w:rsid w:val="00256957"/>
    <w:rsid w:val="0026593D"/>
    <w:rsid w:val="00265D93"/>
    <w:rsid w:val="00272371"/>
    <w:rsid w:val="00280885"/>
    <w:rsid w:val="00280D4D"/>
    <w:rsid w:val="002814C7"/>
    <w:rsid w:val="00282EFB"/>
    <w:rsid w:val="00286F06"/>
    <w:rsid w:val="0029281C"/>
    <w:rsid w:val="00294640"/>
    <w:rsid w:val="002A085F"/>
    <w:rsid w:val="002A2310"/>
    <w:rsid w:val="002A6102"/>
    <w:rsid w:val="002A685A"/>
    <w:rsid w:val="002A73DB"/>
    <w:rsid w:val="002B15B1"/>
    <w:rsid w:val="002B1F43"/>
    <w:rsid w:val="002B2C07"/>
    <w:rsid w:val="002B7B2A"/>
    <w:rsid w:val="002C220A"/>
    <w:rsid w:val="002C415D"/>
    <w:rsid w:val="002C70AD"/>
    <w:rsid w:val="002D56F5"/>
    <w:rsid w:val="002D5DE5"/>
    <w:rsid w:val="002E2E96"/>
    <w:rsid w:val="002E7850"/>
    <w:rsid w:val="002F0886"/>
    <w:rsid w:val="002F2972"/>
    <w:rsid w:val="002F3C0C"/>
    <w:rsid w:val="002F6F67"/>
    <w:rsid w:val="00310435"/>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72FD3"/>
    <w:rsid w:val="00377E47"/>
    <w:rsid w:val="00380665"/>
    <w:rsid w:val="003824E1"/>
    <w:rsid w:val="00386B89"/>
    <w:rsid w:val="003905A0"/>
    <w:rsid w:val="003956AA"/>
    <w:rsid w:val="00396364"/>
    <w:rsid w:val="003A1983"/>
    <w:rsid w:val="003A6C5E"/>
    <w:rsid w:val="003B13C8"/>
    <w:rsid w:val="003B63EA"/>
    <w:rsid w:val="003C3C0B"/>
    <w:rsid w:val="003C4845"/>
    <w:rsid w:val="003C529F"/>
    <w:rsid w:val="003C551E"/>
    <w:rsid w:val="003C5F32"/>
    <w:rsid w:val="003D0440"/>
    <w:rsid w:val="003D3712"/>
    <w:rsid w:val="003D4333"/>
    <w:rsid w:val="003D472F"/>
    <w:rsid w:val="003D475E"/>
    <w:rsid w:val="003D5642"/>
    <w:rsid w:val="003D593E"/>
    <w:rsid w:val="003D6504"/>
    <w:rsid w:val="003E3350"/>
    <w:rsid w:val="003E6807"/>
    <w:rsid w:val="003F1763"/>
    <w:rsid w:val="003F5AD2"/>
    <w:rsid w:val="003F5EEB"/>
    <w:rsid w:val="003F6F2B"/>
    <w:rsid w:val="003F7AE5"/>
    <w:rsid w:val="00401B89"/>
    <w:rsid w:val="00403175"/>
    <w:rsid w:val="00403EEA"/>
    <w:rsid w:val="00406051"/>
    <w:rsid w:val="00407D4C"/>
    <w:rsid w:val="004128E0"/>
    <w:rsid w:val="00414399"/>
    <w:rsid w:val="00423D83"/>
    <w:rsid w:val="00423F98"/>
    <w:rsid w:val="00426CD6"/>
    <w:rsid w:val="00433A18"/>
    <w:rsid w:val="00435C35"/>
    <w:rsid w:val="00440804"/>
    <w:rsid w:val="004427D7"/>
    <w:rsid w:val="004434F1"/>
    <w:rsid w:val="00447BD6"/>
    <w:rsid w:val="004519AF"/>
    <w:rsid w:val="00453B5C"/>
    <w:rsid w:val="00453F2F"/>
    <w:rsid w:val="004620D1"/>
    <w:rsid w:val="004623B5"/>
    <w:rsid w:val="004636EE"/>
    <w:rsid w:val="00465034"/>
    <w:rsid w:val="00465D51"/>
    <w:rsid w:val="00467025"/>
    <w:rsid w:val="0047180B"/>
    <w:rsid w:val="00472031"/>
    <w:rsid w:val="00491140"/>
    <w:rsid w:val="00491BFA"/>
    <w:rsid w:val="004A26D4"/>
    <w:rsid w:val="004A39D4"/>
    <w:rsid w:val="004B243A"/>
    <w:rsid w:val="004B3A5A"/>
    <w:rsid w:val="004B3E6A"/>
    <w:rsid w:val="004B4A38"/>
    <w:rsid w:val="004B780F"/>
    <w:rsid w:val="004B78A6"/>
    <w:rsid w:val="004B7AFB"/>
    <w:rsid w:val="004C202C"/>
    <w:rsid w:val="004C35A9"/>
    <w:rsid w:val="004C7910"/>
    <w:rsid w:val="004D541C"/>
    <w:rsid w:val="004D766E"/>
    <w:rsid w:val="004E0296"/>
    <w:rsid w:val="004E0CED"/>
    <w:rsid w:val="004E1985"/>
    <w:rsid w:val="004E287C"/>
    <w:rsid w:val="004E64AF"/>
    <w:rsid w:val="004E7A43"/>
    <w:rsid w:val="004F211A"/>
    <w:rsid w:val="004F2A84"/>
    <w:rsid w:val="004F500B"/>
    <w:rsid w:val="004F7A1F"/>
    <w:rsid w:val="00505951"/>
    <w:rsid w:val="00505B7D"/>
    <w:rsid w:val="00510188"/>
    <w:rsid w:val="005101D7"/>
    <w:rsid w:val="00510875"/>
    <w:rsid w:val="00511799"/>
    <w:rsid w:val="005165E7"/>
    <w:rsid w:val="00526CC3"/>
    <w:rsid w:val="00526DDB"/>
    <w:rsid w:val="00533543"/>
    <w:rsid w:val="00541252"/>
    <w:rsid w:val="00546AB2"/>
    <w:rsid w:val="00551A94"/>
    <w:rsid w:val="0055208E"/>
    <w:rsid w:val="00555FD2"/>
    <w:rsid w:val="005600AD"/>
    <w:rsid w:val="00561CDC"/>
    <w:rsid w:val="00564405"/>
    <w:rsid w:val="00564D8B"/>
    <w:rsid w:val="00565248"/>
    <w:rsid w:val="0056717B"/>
    <w:rsid w:val="005672BA"/>
    <w:rsid w:val="0056762B"/>
    <w:rsid w:val="00572A54"/>
    <w:rsid w:val="00573D13"/>
    <w:rsid w:val="00576F2C"/>
    <w:rsid w:val="00587B55"/>
    <w:rsid w:val="00594046"/>
    <w:rsid w:val="0059585B"/>
    <w:rsid w:val="00596D59"/>
    <w:rsid w:val="005A0310"/>
    <w:rsid w:val="005A493B"/>
    <w:rsid w:val="005A502E"/>
    <w:rsid w:val="005A6483"/>
    <w:rsid w:val="005A7DEE"/>
    <w:rsid w:val="005B0C40"/>
    <w:rsid w:val="005B1F4E"/>
    <w:rsid w:val="005B6483"/>
    <w:rsid w:val="005B657E"/>
    <w:rsid w:val="005B6E42"/>
    <w:rsid w:val="005C5565"/>
    <w:rsid w:val="005D1B8B"/>
    <w:rsid w:val="005D2214"/>
    <w:rsid w:val="005E0A49"/>
    <w:rsid w:val="005E2D4E"/>
    <w:rsid w:val="005E4480"/>
    <w:rsid w:val="005E5872"/>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272BA"/>
    <w:rsid w:val="006275E5"/>
    <w:rsid w:val="00631B15"/>
    <w:rsid w:val="00633869"/>
    <w:rsid w:val="00635C5B"/>
    <w:rsid w:val="00636447"/>
    <w:rsid w:val="00636E27"/>
    <w:rsid w:val="0064052C"/>
    <w:rsid w:val="006529A5"/>
    <w:rsid w:val="006534FB"/>
    <w:rsid w:val="006555D1"/>
    <w:rsid w:val="0066062B"/>
    <w:rsid w:val="006647DA"/>
    <w:rsid w:val="00665A9D"/>
    <w:rsid w:val="006727F3"/>
    <w:rsid w:val="006732B8"/>
    <w:rsid w:val="0067335C"/>
    <w:rsid w:val="00673E2F"/>
    <w:rsid w:val="006741E3"/>
    <w:rsid w:val="00676EE7"/>
    <w:rsid w:val="006828DF"/>
    <w:rsid w:val="00682979"/>
    <w:rsid w:val="006844D8"/>
    <w:rsid w:val="006845FA"/>
    <w:rsid w:val="006862CF"/>
    <w:rsid w:val="006863C1"/>
    <w:rsid w:val="0068772C"/>
    <w:rsid w:val="006932F8"/>
    <w:rsid w:val="00693CED"/>
    <w:rsid w:val="006962A4"/>
    <w:rsid w:val="006968F1"/>
    <w:rsid w:val="006A1B3E"/>
    <w:rsid w:val="006A24F4"/>
    <w:rsid w:val="006A2AEA"/>
    <w:rsid w:val="006A6CE6"/>
    <w:rsid w:val="006B4926"/>
    <w:rsid w:val="006B556C"/>
    <w:rsid w:val="006B7735"/>
    <w:rsid w:val="006C2465"/>
    <w:rsid w:val="006C30DD"/>
    <w:rsid w:val="006C6D7E"/>
    <w:rsid w:val="006D1978"/>
    <w:rsid w:val="006D48FD"/>
    <w:rsid w:val="006D4D0A"/>
    <w:rsid w:val="006D5F4B"/>
    <w:rsid w:val="006D63CA"/>
    <w:rsid w:val="006D6DDF"/>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2B13"/>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80B46"/>
    <w:rsid w:val="00782BE6"/>
    <w:rsid w:val="00786CDA"/>
    <w:rsid w:val="0078712D"/>
    <w:rsid w:val="0079115F"/>
    <w:rsid w:val="00791720"/>
    <w:rsid w:val="00793C98"/>
    <w:rsid w:val="007956E1"/>
    <w:rsid w:val="00796457"/>
    <w:rsid w:val="0079790A"/>
    <w:rsid w:val="00797AED"/>
    <w:rsid w:val="007A16C9"/>
    <w:rsid w:val="007A30A8"/>
    <w:rsid w:val="007A3E9B"/>
    <w:rsid w:val="007A5511"/>
    <w:rsid w:val="007A60F7"/>
    <w:rsid w:val="007A674B"/>
    <w:rsid w:val="007A770A"/>
    <w:rsid w:val="007B20F0"/>
    <w:rsid w:val="007B2C4D"/>
    <w:rsid w:val="007B3A26"/>
    <w:rsid w:val="007B5828"/>
    <w:rsid w:val="007B5971"/>
    <w:rsid w:val="007B68D2"/>
    <w:rsid w:val="007B697E"/>
    <w:rsid w:val="007B7505"/>
    <w:rsid w:val="007C1974"/>
    <w:rsid w:val="007C3926"/>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5508"/>
    <w:rsid w:val="00816676"/>
    <w:rsid w:val="00826DF9"/>
    <w:rsid w:val="00830098"/>
    <w:rsid w:val="00830781"/>
    <w:rsid w:val="008312E4"/>
    <w:rsid w:val="008350FC"/>
    <w:rsid w:val="00835AE7"/>
    <w:rsid w:val="00840362"/>
    <w:rsid w:val="00840A1C"/>
    <w:rsid w:val="00844545"/>
    <w:rsid w:val="00855F4E"/>
    <w:rsid w:val="00863188"/>
    <w:rsid w:val="00864E67"/>
    <w:rsid w:val="00866E36"/>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2D7B"/>
    <w:rsid w:val="008F32A8"/>
    <w:rsid w:val="008F4232"/>
    <w:rsid w:val="008F4C10"/>
    <w:rsid w:val="00901050"/>
    <w:rsid w:val="009021A0"/>
    <w:rsid w:val="00904119"/>
    <w:rsid w:val="0090437F"/>
    <w:rsid w:val="00906651"/>
    <w:rsid w:val="00906A7F"/>
    <w:rsid w:val="0091549F"/>
    <w:rsid w:val="00915778"/>
    <w:rsid w:val="0091762B"/>
    <w:rsid w:val="00917FFE"/>
    <w:rsid w:val="00922AFB"/>
    <w:rsid w:val="00925F04"/>
    <w:rsid w:val="00934816"/>
    <w:rsid w:val="00937FE6"/>
    <w:rsid w:val="0094373B"/>
    <w:rsid w:val="009456F6"/>
    <w:rsid w:val="009501BF"/>
    <w:rsid w:val="0095033C"/>
    <w:rsid w:val="00956646"/>
    <w:rsid w:val="00960B83"/>
    <w:rsid w:val="00976B1D"/>
    <w:rsid w:val="00977622"/>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B65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12CA"/>
    <w:rsid w:val="00A34E58"/>
    <w:rsid w:val="00A35462"/>
    <w:rsid w:val="00A42C15"/>
    <w:rsid w:val="00A45ED8"/>
    <w:rsid w:val="00A53160"/>
    <w:rsid w:val="00A60AD5"/>
    <w:rsid w:val="00A649EB"/>
    <w:rsid w:val="00A655B9"/>
    <w:rsid w:val="00A676B8"/>
    <w:rsid w:val="00A71E07"/>
    <w:rsid w:val="00A82B70"/>
    <w:rsid w:val="00A846B7"/>
    <w:rsid w:val="00A90DD5"/>
    <w:rsid w:val="00A921E2"/>
    <w:rsid w:val="00A936EC"/>
    <w:rsid w:val="00A949D3"/>
    <w:rsid w:val="00A94A43"/>
    <w:rsid w:val="00A95018"/>
    <w:rsid w:val="00A95514"/>
    <w:rsid w:val="00A95AB2"/>
    <w:rsid w:val="00A97939"/>
    <w:rsid w:val="00AA2A4F"/>
    <w:rsid w:val="00AA353D"/>
    <w:rsid w:val="00AA6038"/>
    <w:rsid w:val="00AB4EFD"/>
    <w:rsid w:val="00AB77BC"/>
    <w:rsid w:val="00AC23F0"/>
    <w:rsid w:val="00AD6D71"/>
    <w:rsid w:val="00AE0D55"/>
    <w:rsid w:val="00AE3789"/>
    <w:rsid w:val="00AE4D94"/>
    <w:rsid w:val="00AE555E"/>
    <w:rsid w:val="00AE5797"/>
    <w:rsid w:val="00AF005F"/>
    <w:rsid w:val="00AF1AAC"/>
    <w:rsid w:val="00AF5B52"/>
    <w:rsid w:val="00B03924"/>
    <w:rsid w:val="00B0477F"/>
    <w:rsid w:val="00B1467F"/>
    <w:rsid w:val="00B1696B"/>
    <w:rsid w:val="00B17655"/>
    <w:rsid w:val="00B224A3"/>
    <w:rsid w:val="00B2413D"/>
    <w:rsid w:val="00B2435E"/>
    <w:rsid w:val="00B271F8"/>
    <w:rsid w:val="00B27707"/>
    <w:rsid w:val="00B30D14"/>
    <w:rsid w:val="00B334E2"/>
    <w:rsid w:val="00B34E2B"/>
    <w:rsid w:val="00B35DDD"/>
    <w:rsid w:val="00B372E5"/>
    <w:rsid w:val="00B45C6E"/>
    <w:rsid w:val="00B46491"/>
    <w:rsid w:val="00B52837"/>
    <w:rsid w:val="00B53787"/>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08DB"/>
    <w:rsid w:val="00BE162E"/>
    <w:rsid w:val="00BE2953"/>
    <w:rsid w:val="00BE4ED2"/>
    <w:rsid w:val="00BE5007"/>
    <w:rsid w:val="00BE5509"/>
    <w:rsid w:val="00BF5047"/>
    <w:rsid w:val="00BF511B"/>
    <w:rsid w:val="00BF6977"/>
    <w:rsid w:val="00C0063E"/>
    <w:rsid w:val="00C018D1"/>
    <w:rsid w:val="00C06008"/>
    <w:rsid w:val="00C06B4C"/>
    <w:rsid w:val="00C218C6"/>
    <w:rsid w:val="00C25F10"/>
    <w:rsid w:val="00C3055B"/>
    <w:rsid w:val="00C343B8"/>
    <w:rsid w:val="00C36060"/>
    <w:rsid w:val="00C4105B"/>
    <w:rsid w:val="00C4486F"/>
    <w:rsid w:val="00C4566A"/>
    <w:rsid w:val="00C50737"/>
    <w:rsid w:val="00C549B0"/>
    <w:rsid w:val="00C55156"/>
    <w:rsid w:val="00C552BD"/>
    <w:rsid w:val="00C556D7"/>
    <w:rsid w:val="00C56420"/>
    <w:rsid w:val="00C5653F"/>
    <w:rsid w:val="00C61139"/>
    <w:rsid w:val="00C63E38"/>
    <w:rsid w:val="00C65DC7"/>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4D17"/>
    <w:rsid w:val="00CC64C9"/>
    <w:rsid w:val="00CD06EE"/>
    <w:rsid w:val="00CD08F5"/>
    <w:rsid w:val="00CE1E76"/>
    <w:rsid w:val="00CE2ADF"/>
    <w:rsid w:val="00CE4D79"/>
    <w:rsid w:val="00CE5A19"/>
    <w:rsid w:val="00CE6B1E"/>
    <w:rsid w:val="00CE76CC"/>
    <w:rsid w:val="00CF00AA"/>
    <w:rsid w:val="00CF04AF"/>
    <w:rsid w:val="00CF2738"/>
    <w:rsid w:val="00CF2D8F"/>
    <w:rsid w:val="00CF46C5"/>
    <w:rsid w:val="00CF5AFA"/>
    <w:rsid w:val="00CF5BE5"/>
    <w:rsid w:val="00D0226E"/>
    <w:rsid w:val="00D02502"/>
    <w:rsid w:val="00D028EB"/>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8461D"/>
    <w:rsid w:val="00D905B2"/>
    <w:rsid w:val="00D921B3"/>
    <w:rsid w:val="00D93008"/>
    <w:rsid w:val="00D951B5"/>
    <w:rsid w:val="00D9667E"/>
    <w:rsid w:val="00DA04DC"/>
    <w:rsid w:val="00DA0A17"/>
    <w:rsid w:val="00DA0D70"/>
    <w:rsid w:val="00DA1B95"/>
    <w:rsid w:val="00DA35C9"/>
    <w:rsid w:val="00DA5910"/>
    <w:rsid w:val="00DB0821"/>
    <w:rsid w:val="00DB1E2F"/>
    <w:rsid w:val="00DB569B"/>
    <w:rsid w:val="00DC49C5"/>
    <w:rsid w:val="00DC554F"/>
    <w:rsid w:val="00DC57D2"/>
    <w:rsid w:val="00DC71C0"/>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507E5"/>
    <w:rsid w:val="00E51442"/>
    <w:rsid w:val="00E56A8B"/>
    <w:rsid w:val="00E63413"/>
    <w:rsid w:val="00E65469"/>
    <w:rsid w:val="00E70348"/>
    <w:rsid w:val="00E7269D"/>
    <w:rsid w:val="00E72AA4"/>
    <w:rsid w:val="00E7358C"/>
    <w:rsid w:val="00E75078"/>
    <w:rsid w:val="00E81599"/>
    <w:rsid w:val="00E868F3"/>
    <w:rsid w:val="00E87E06"/>
    <w:rsid w:val="00E967C2"/>
    <w:rsid w:val="00E96CC5"/>
    <w:rsid w:val="00E97069"/>
    <w:rsid w:val="00EA6189"/>
    <w:rsid w:val="00EB0EF6"/>
    <w:rsid w:val="00EB1C54"/>
    <w:rsid w:val="00EB3EEF"/>
    <w:rsid w:val="00EB7232"/>
    <w:rsid w:val="00EC349A"/>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4D59"/>
    <w:rsid w:val="00F151C9"/>
    <w:rsid w:val="00F1676A"/>
    <w:rsid w:val="00F20C67"/>
    <w:rsid w:val="00F2619D"/>
    <w:rsid w:val="00F26841"/>
    <w:rsid w:val="00F26AA9"/>
    <w:rsid w:val="00F26F22"/>
    <w:rsid w:val="00F272D7"/>
    <w:rsid w:val="00F3075E"/>
    <w:rsid w:val="00F30A65"/>
    <w:rsid w:val="00F3151D"/>
    <w:rsid w:val="00F35B30"/>
    <w:rsid w:val="00F42F79"/>
    <w:rsid w:val="00F43313"/>
    <w:rsid w:val="00F4411B"/>
    <w:rsid w:val="00F45366"/>
    <w:rsid w:val="00F51837"/>
    <w:rsid w:val="00F554D3"/>
    <w:rsid w:val="00F559CB"/>
    <w:rsid w:val="00F565FD"/>
    <w:rsid w:val="00F572D6"/>
    <w:rsid w:val="00F60073"/>
    <w:rsid w:val="00F61341"/>
    <w:rsid w:val="00F63331"/>
    <w:rsid w:val="00F670E9"/>
    <w:rsid w:val="00F67933"/>
    <w:rsid w:val="00F700C9"/>
    <w:rsid w:val="00F701B2"/>
    <w:rsid w:val="00F70D48"/>
    <w:rsid w:val="00F70D4F"/>
    <w:rsid w:val="00F7251A"/>
    <w:rsid w:val="00F81577"/>
    <w:rsid w:val="00F836B8"/>
    <w:rsid w:val="00F8437D"/>
    <w:rsid w:val="00F84A0F"/>
    <w:rsid w:val="00F84BCA"/>
    <w:rsid w:val="00F86491"/>
    <w:rsid w:val="00F91898"/>
    <w:rsid w:val="00F921FB"/>
    <w:rsid w:val="00F95085"/>
    <w:rsid w:val="00FA220F"/>
    <w:rsid w:val="00FA601C"/>
    <w:rsid w:val="00FA60C6"/>
    <w:rsid w:val="00FB0D9B"/>
    <w:rsid w:val="00FB1ADB"/>
    <w:rsid w:val="00FB1F85"/>
    <w:rsid w:val="00FB5999"/>
    <w:rsid w:val="00FC08DC"/>
    <w:rsid w:val="00FC3B19"/>
    <w:rsid w:val="00FC4217"/>
    <w:rsid w:val="00FC4A4B"/>
    <w:rsid w:val="00FC67EE"/>
    <w:rsid w:val="00FD0001"/>
    <w:rsid w:val="00FD59B3"/>
    <w:rsid w:val="00FE04B0"/>
    <w:rsid w:val="00FE239C"/>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02A03-F8EF-4526-84DA-4DD7267A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RATIO ANALYSIS OF FINANCIAL INFORMATION</dc:title>
  <dc:subject/>
  <dc:creator>Rampyari</dc:creator>
  <cp:keywords/>
  <dc:description/>
  <cp:lastModifiedBy>Rampyari</cp:lastModifiedBy>
  <cp:revision>7</cp:revision>
  <dcterms:created xsi:type="dcterms:W3CDTF">2016-12-10T06:31:00Z</dcterms:created>
  <dcterms:modified xsi:type="dcterms:W3CDTF">2016-12-10T06:59:00Z</dcterms:modified>
</cp:coreProperties>
</file>